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48"/>
        </w:rPr>
      </w:pPr>
      <w:r>
        <w:rPr>
          <w:b/>
          <w:sz w:val="48"/>
        </w:rPr>
        <w:t xml:space="preserve">650V 50mΩ GaN FET </w:t>
      </w:r>
    </w:p>
    <w:tbl>
      <w:tblPr>
        <w:tblStyle w:val="5"/>
        <w:tblW w:w="1091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82"/>
        <w:gridCol w:w="552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82" w:type="dxa"/>
          </w:tcPr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  <w:t>订购信息</w:t>
            </w:r>
          </w:p>
          <w:p>
            <w:pPr>
              <w:spacing w:after="0" w:line="240" w:lineRule="auto"/>
              <w:rPr>
                <w:b/>
              </w:rPr>
            </w:pPr>
          </w:p>
          <w:tbl>
            <w:tblPr>
              <w:tblStyle w:val="5"/>
              <w:tblW w:w="0" w:type="auto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18"/>
              <w:gridCol w:w="1719"/>
              <w:gridCol w:w="1719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1718" w:type="dxa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eastAsia" w:eastAsiaTheme="minorEastAsia"/>
                      <w:b/>
                      <w:sz w:val="18"/>
                      <w:lang w:val="en-US"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sz w:val="18"/>
                      <w:lang w:val="en-US" w:eastAsia="zh-CN"/>
                    </w:rPr>
                    <w:t>器件编号</w:t>
                  </w:r>
                </w:p>
              </w:tc>
              <w:tc>
                <w:tcPr>
                  <w:tcW w:w="1719" w:type="dxa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eastAsia" w:eastAsiaTheme="minorEastAsia"/>
                      <w:b/>
                      <w:sz w:val="18"/>
                      <w:lang w:eastAsia="zh-CN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sz w:val="18"/>
                      <w:lang w:val="en-US" w:eastAsia="zh-CN"/>
                    </w:rPr>
                    <w:t>封装</w:t>
                  </w:r>
                </w:p>
              </w:tc>
              <w:tc>
                <w:tcPr>
                  <w:tcW w:w="1719" w:type="dxa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sz w:val="18"/>
                      <w:lang w:val="en-US" w:eastAsia="zh-CN"/>
                    </w:rPr>
                    <w:t>封装配置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0" w:hRule="atLeast"/>
                <w:jc w:val="center"/>
              </w:trPr>
              <w:tc>
                <w:tcPr>
                  <w:tcW w:w="1718" w:type="dxa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eastAsiaTheme="minorEastAsia"/>
                      <w:b/>
                      <w:sz w:val="18"/>
                      <w:lang w:val="en-US" w:eastAsia="zh-CN"/>
                    </w:rPr>
                  </w:pPr>
                  <w:r>
                    <w:rPr>
                      <w:b/>
                      <w:sz w:val="18"/>
                    </w:rPr>
                    <w:t>GSR065E</w:t>
                  </w:r>
                  <w:r>
                    <w:rPr>
                      <w:rFonts w:hint="eastAsia"/>
                      <w:b/>
                      <w:sz w:val="18"/>
                      <w:lang w:val="en-US" w:eastAsia="zh-CN"/>
                    </w:rPr>
                    <w:t>030</w:t>
                  </w:r>
                </w:p>
              </w:tc>
              <w:tc>
                <w:tcPr>
                  <w:tcW w:w="1719" w:type="dxa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>
                    <w:rPr>
                      <w:rFonts w:hint="eastAsia"/>
                      <w:b/>
                      <w:sz w:val="18"/>
                      <w:lang w:val="en-US" w:eastAsia="zh-CN"/>
                    </w:rPr>
                    <w:t>8</w:t>
                  </w:r>
                  <w:r>
                    <w:rPr>
                      <w:b/>
                      <w:sz w:val="18"/>
                    </w:rPr>
                    <w:t>x</w:t>
                  </w:r>
                  <w:r>
                    <w:rPr>
                      <w:rFonts w:hint="eastAsia"/>
                      <w:b/>
                      <w:sz w:val="18"/>
                      <w:lang w:val="en-US" w:eastAsia="zh-CN"/>
                    </w:rPr>
                    <w:t>8</w:t>
                  </w:r>
                  <w:r>
                    <w:rPr>
                      <w:b/>
                      <w:sz w:val="18"/>
                    </w:rPr>
                    <w:t xml:space="preserve"> mm PDFN</w:t>
                  </w:r>
                </w:p>
              </w:tc>
              <w:tc>
                <w:tcPr>
                  <w:tcW w:w="1719" w:type="dxa"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Tape-and-Reel</w:t>
                  </w:r>
                </w:p>
              </w:tc>
            </w:tr>
          </w:tbl>
          <w:p>
            <w:pPr>
              <w:spacing w:after="0" w:line="240" w:lineRule="auto"/>
            </w:pPr>
            <w:r>
              <w:t xml:space="preserve">    </w:t>
            </w:r>
          </w:p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  <w:t>产品外观</w:t>
            </w:r>
          </w:p>
          <w:p>
            <w:pPr>
              <w:spacing w:after="0" w:line="240" w:lineRule="auto"/>
            </w:pPr>
            <w:r>
              <w:t xml:space="preserve">                                      </w:t>
            </w:r>
          </w:p>
          <w:p>
            <w:pPr>
              <w:spacing w:after="0" w:line="240" w:lineRule="auto"/>
            </w:pP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drawing>
                <wp:inline distT="0" distB="0" distL="0" distR="0">
                  <wp:extent cx="2013585" cy="1392555"/>
                  <wp:effectExtent l="0" t="0" r="5715" b="17145"/>
                  <wp:docPr id="9" name="图片 9" descr="C:\Users\DELL\Desktop\捕获.PNG捕获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\Users\DELL\Desktop\捕获.PNG捕获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3585" cy="1392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  <w:lang w:val="en-US" w:eastAsia="zh-CN"/>
              </w:rPr>
              <w:t>顶视图</w:t>
            </w:r>
          </w:p>
          <w:p>
            <w:pPr>
              <w:spacing w:after="0" w:line="240" w:lineRule="auto"/>
              <w:jc w:val="center"/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  <w:lang w:val="en-US" w:eastAsia="zh-CN"/>
              </w:rPr>
            </w:pPr>
          </w:p>
          <w:p>
            <w:pPr>
              <w:spacing w:after="0" w:line="240" w:lineRule="auto"/>
              <w:jc w:val="center"/>
            </w:pPr>
            <w:r>
              <w:drawing>
                <wp:inline distT="0" distB="0" distL="0" distR="0">
                  <wp:extent cx="2171065" cy="1393190"/>
                  <wp:effectExtent l="0" t="0" r="635" b="16510"/>
                  <wp:docPr id="10" name="图片 10" descr="C:\Users\DELL\Desktop\我.PNG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\Users\DELL\Desktop\我.PNG我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065" cy="13931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18"/>
                <w:szCs w:val="18"/>
                <w:lang w:val="en-US" w:eastAsia="zh-CN"/>
              </w:rPr>
              <w:t>底视图</w:t>
            </w:r>
          </w:p>
          <w:p>
            <w:pPr>
              <w:spacing w:after="0" w:line="240" w:lineRule="auto"/>
              <w:jc w:val="both"/>
            </w:pPr>
          </w:p>
          <w:p>
            <w:pPr>
              <w:spacing w:after="0" w:line="240" w:lineRule="auto"/>
              <w:jc w:val="center"/>
            </w:pPr>
            <w:r>
              <w:drawing>
                <wp:inline distT="0" distB="0" distL="0" distR="0">
                  <wp:extent cx="1227455" cy="1393190"/>
                  <wp:effectExtent l="0" t="0" r="10795" b="16510"/>
                  <wp:docPr id="1" name="图片 1" descr="C:\Users\DELL\Desktop\3.PNG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DELL\Desktop\3.PNG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455" cy="139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  <w:rPr>
                <w:rFonts w:hint="eastAsia" w:eastAsiaTheme="minorEastAsia"/>
                <w:b/>
                <w:sz w:val="18"/>
                <w:lang w:eastAsia="zh-CN"/>
              </w:rPr>
            </w:pPr>
            <w:r>
              <w:rPr>
                <w:b/>
                <w:sz w:val="18"/>
              </w:rPr>
              <w:t xml:space="preserve">Cascode </w:t>
            </w:r>
            <w:r>
              <w:rPr>
                <w:rFonts w:hint="eastAsia" w:ascii="微软雅黑" w:hAnsi="微软雅黑" w:eastAsia="微软雅黑" w:cs="微软雅黑"/>
                <w:b/>
                <w:sz w:val="15"/>
                <w:szCs w:val="15"/>
                <w:lang w:val="en-US" w:eastAsia="zh-CN"/>
              </w:rPr>
              <w:t>器件结构</w:t>
            </w:r>
          </w:p>
        </w:tc>
        <w:tc>
          <w:tcPr>
            <w:tcW w:w="5528" w:type="dxa"/>
          </w:tcPr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  <w:t>产品说明</w:t>
            </w:r>
          </w:p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000000"/>
                <w:spacing w:val="-3"/>
                <w:sz w:val="21"/>
                <w:szCs w:val="21"/>
              </w:rPr>
              <w:t>GSR065E</w:t>
            </w:r>
            <w:r>
              <w:rPr>
                <w:rFonts w:hint="eastAsia" w:ascii="微软雅黑" w:hAnsi="微软雅黑" w:eastAsia="微软雅黑" w:cs="微软雅黑"/>
                <w:color w:val="000000"/>
                <w:spacing w:val="-3"/>
                <w:sz w:val="21"/>
                <w:szCs w:val="21"/>
                <w:lang w:val="en-US" w:eastAsia="zh-CN"/>
              </w:rPr>
              <w:t>030</w:t>
            </w:r>
            <w:r>
              <w:rPr>
                <w:rFonts w:hint="eastAsia" w:ascii="微软雅黑" w:hAnsi="微软雅黑" w:eastAsia="微软雅黑" w:cs="微软雅黑"/>
                <w:color w:val="000000"/>
                <w:spacing w:val="-3"/>
                <w:sz w:val="21"/>
                <w:szCs w:val="21"/>
              </w:rPr>
              <w:t xml:space="preserve"> 是一种增强型 GaN-on-Silicon 功率晶体管。 GaN 的特性允许高电流、高击穿电压和高开关频率。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 xml:space="preserve"> 这是一款底部冷却晶体管，可为要求苛刻的大功率应用提供极低的结壳热阻。</w:t>
            </w:r>
          </w:p>
          <w:p>
            <w:pPr>
              <w:spacing w:after="0" w:line="240" w:lineRule="auto"/>
              <w:jc w:val="both"/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 xml:space="preserve">GSR 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/>
              </w:rPr>
              <w:t>半导体</w:t>
            </w:r>
            <w:r>
              <w:rPr>
                <w:rFonts w:hint="eastAsia" w:ascii="微软雅黑" w:hAnsi="微软雅黑" w:eastAsia="微软雅黑" w:cs="微软雅黑"/>
                <w:sz w:val="21"/>
                <w:szCs w:val="21"/>
              </w:rPr>
              <w:t>使用先进的外延和设计技术来简化可制造性，同时提高高效电源开关。</w:t>
            </w:r>
            <w:r>
              <w:t xml:space="preserve"> </w:t>
            </w:r>
          </w:p>
          <w:p>
            <w:pPr>
              <w:spacing w:after="0" w:line="240" w:lineRule="auto"/>
              <w:jc w:val="both"/>
            </w:pPr>
          </w:p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  <w:t>产品规格</w:t>
            </w:r>
          </w:p>
          <w:tbl>
            <w:tblPr>
              <w:tblStyle w:val="5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51"/>
              <w:gridCol w:w="265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V</w:t>
                  </w:r>
                  <w:r>
                    <w:rPr>
                      <w:sz w:val="14"/>
                    </w:rPr>
                    <w:t>DSS</w:t>
                  </w:r>
                  <w:r>
                    <w:t xml:space="preserve"> (V)</w:t>
                  </w:r>
                </w:p>
              </w:tc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650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R</w:t>
                  </w:r>
                  <w:r>
                    <w:rPr>
                      <w:sz w:val="14"/>
                    </w:rPr>
                    <w:t>DS(on)</w:t>
                  </w:r>
                  <w:r>
                    <w:t xml:space="preserve"> (mΩ)</w:t>
                  </w:r>
                </w:p>
              </w:tc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50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I</w:t>
                  </w:r>
                  <w:r>
                    <w:rPr>
                      <w:sz w:val="14"/>
                    </w:rPr>
                    <w:t>DS(max)</w:t>
                  </w:r>
                  <w:r>
                    <w:t xml:space="preserve"> (I)</w:t>
                  </w:r>
                </w:p>
              </w:tc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  <w:rPr>
                      <w:rFonts w:hint="default" w:eastAsiaTheme="minorEastAsia"/>
                      <w:lang w:val="en-US" w:eastAsia="zh-CN"/>
                    </w:rPr>
                  </w:pPr>
                  <w:r>
                    <w:rPr>
                      <w:rFonts w:hint="eastAsia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Simple Gate Drive (V)</w:t>
                  </w:r>
                </w:p>
              </w:tc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0-6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Transient Tolerant Gate Drive (V)</w:t>
                  </w:r>
                </w:p>
              </w:tc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-20 / +10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sz w:val="18"/>
                    </w:rPr>
                    <w:t>High Switching Frequency</w:t>
                  </w:r>
                </w:p>
              </w:tc>
              <w:tc>
                <w:tcPr>
                  <w:tcW w:w="2651" w:type="dxa"/>
                </w:tcPr>
                <w:p>
                  <w:pPr>
                    <w:spacing w:after="0" w:line="240" w:lineRule="auto"/>
                    <w:jc w:val="center"/>
                  </w:pPr>
                  <w:r>
                    <w:t>&gt; 1MHz</w:t>
                  </w:r>
                </w:p>
              </w:tc>
            </w:tr>
          </w:tbl>
          <w:p>
            <w:pPr>
              <w:spacing w:after="0" w:line="240" w:lineRule="auto"/>
              <w:jc w:val="both"/>
            </w:pPr>
          </w:p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  <w:t>产品应用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无桥图腾柱 PFC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消费、工业和数据中心高密度电源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大功率适配器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LED 照明驱动器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电器和工业电机驱动器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太阳能逆变器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不间断供电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激光驱动器</w:t>
            </w:r>
          </w:p>
          <w:p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无线电力传输</w:t>
            </w:r>
          </w:p>
          <w:p>
            <w:p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sz w:val="18"/>
                <w:szCs w:val="18"/>
                <w:lang w:val="en-US" w:eastAsia="zh-CN"/>
              </w:rPr>
              <w:t>产品特征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650V 增强型功率晶体管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底部冷却、 8x8 毫米 PDFN 封装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快速且可控的升降时间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反向导通能力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零反向恢复损失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Source Sense (SS) 引脚，用于优化栅极驱动</w:t>
            </w:r>
          </w:p>
          <w:p>
            <w:pPr>
              <w:pStyle w:val="9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lang w:val="en-US" w:eastAsia="zh-CN" w:bidi="ar-SA"/>
              </w:rPr>
              <w:t>符合 RoHS 3 （6+4） 标准</w:t>
            </w:r>
          </w:p>
          <w:p>
            <w:pPr>
              <w:spacing w:after="0" w:line="240" w:lineRule="auto"/>
              <w:jc w:val="both"/>
            </w:pPr>
          </w:p>
        </w:tc>
      </w:tr>
    </w:tbl>
    <w:p/>
    <w:p>
      <w:pPr>
        <w:autoSpaceDE w:val="0"/>
        <w:autoSpaceDN w:val="0"/>
        <w:adjustRightInd w:val="0"/>
        <w:spacing w:after="0" w:line="476" w:lineRule="exact"/>
      </w:pPr>
      <w:r>
        <w:rPr>
          <w:rFonts w:hint="eastAsia" w:ascii="微软雅黑" w:hAnsi="微软雅黑" w:eastAsia="微软雅黑" w:cs="微软雅黑"/>
          <w:b/>
          <w:bCs/>
          <w:color w:val="000000"/>
          <w:spacing w:val="-3"/>
          <w:sz w:val="21"/>
          <w:szCs w:val="21"/>
        </w:rPr>
        <w:t>绝对最大额定值</w:t>
      </w:r>
      <w:r>
        <w:rPr>
          <w:rFonts w:ascii="Calibri" w:hAnsi="Calibri" w:cs="Calibri"/>
          <w:color w:val="000000"/>
          <w:spacing w:val="12"/>
          <w:sz w:val="24"/>
        </w:rPr>
        <w:t> </w:t>
      </w:r>
      <w:r>
        <w:rPr>
          <w:rFonts w:ascii="Segoe UI" w:hAnsi="Segoe UI" w:cs="Segoe UI"/>
          <w:color w:val="000000"/>
          <w:spacing w:val="-3"/>
          <w:sz w:val="24"/>
        </w:rPr>
        <w:t>(</w:t>
      </w:r>
      <w:r>
        <w:rPr>
          <w:rFonts w:ascii="Segoe UI" w:hAnsi="Segoe UI" w:eastAsia="Segoe UI" w:cs="Segoe UI"/>
          <w:color w:val="000000"/>
          <w:kern w:val="0"/>
          <w:sz w:val="24"/>
          <w:szCs w:val="24"/>
          <w:lang w:val="en-US" w:eastAsia="zh-CN" w:bidi="ar"/>
        </w:rPr>
        <w:t>T</w:t>
      </w:r>
      <w:r>
        <w:rPr>
          <w:rFonts w:hint="default" w:ascii="Segoe UI" w:hAnsi="Segoe UI" w:eastAsia="Segoe UI" w:cs="Segoe UI"/>
          <w:color w:val="000000"/>
          <w:kern w:val="0"/>
          <w:sz w:val="16"/>
          <w:szCs w:val="16"/>
          <w:lang w:val="en-US" w:eastAsia="zh-CN" w:bidi="ar"/>
        </w:rPr>
        <w:t>case</w:t>
      </w:r>
      <w:r>
        <w:rPr>
          <w:rFonts w:ascii="Calibri" w:hAnsi="Calibri" w:cs="Calibri"/>
          <w:color w:val="000000"/>
          <w:spacing w:val="9"/>
          <w:sz w:val="24"/>
        </w:rPr>
        <w:t> </w:t>
      </w:r>
      <w:r>
        <w:rPr>
          <w:rFonts w:ascii="Segoe UI" w:hAnsi="Segoe UI" w:cs="Segoe UI"/>
          <w:color w:val="000000"/>
          <w:spacing w:val="-4"/>
          <w:sz w:val="24"/>
        </w:rPr>
        <w:t>=</w:t>
      </w:r>
      <w:r>
        <w:rPr>
          <w:rFonts w:ascii="Calibri" w:hAnsi="Calibri" w:cs="Calibri"/>
          <w:color w:val="000000"/>
          <w:spacing w:val="9"/>
          <w:sz w:val="24"/>
        </w:rPr>
        <w:t> </w:t>
      </w:r>
      <w:r>
        <w:rPr>
          <w:rFonts w:ascii="Segoe UI" w:hAnsi="Segoe UI" w:cs="Segoe UI"/>
          <w:color w:val="000000"/>
          <w:spacing w:val="-3"/>
          <w:sz w:val="24"/>
        </w:rPr>
        <w:t>25</w:t>
      </w:r>
      <w:r>
        <w:rPr>
          <w:rFonts w:ascii="Calibri" w:hAnsi="Calibri" w:cs="Calibri"/>
          <w:color w:val="000000"/>
          <w:spacing w:val="11"/>
          <w:sz w:val="24"/>
        </w:rPr>
        <w:t> </w:t>
      </w:r>
      <w:r>
        <w:rPr>
          <w:rFonts w:ascii="Segoe UI" w:hAnsi="Segoe UI" w:cs="Segoe UI"/>
          <w:color w:val="000000"/>
          <w:spacing w:val="-3"/>
          <w:sz w:val="24"/>
        </w:rPr>
        <w:t>°C</w:t>
      </w:r>
      <w:r>
        <w:rPr>
          <w:rFonts w:ascii="Calibri" w:hAnsi="Calibri" w:cs="Calibri"/>
          <w:color w:val="000000"/>
          <w:spacing w:val="11"/>
          <w:sz w:val="24"/>
        </w:rPr>
        <w:t> </w:t>
      </w:r>
      <w:r>
        <w:rPr>
          <w:rFonts w:hint="eastAsia" w:ascii="Segoe UI" w:hAnsi="Segoe UI" w:cs="Segoe UI"/>
          <w:color w:val="000000"/>
          <w:spacing w:val="-4"/>
          <w:sz w:val="24"/>
        </w:rPr>
        <w:t>除非另有说明</w:t>
      </w:r>
      <w:r>
        <w:rPr>
          <w:rFonts w:ascii="Segoe UI" w:hAnsi="Segoe UI" w:cs="Segoe UI"/>
          <w:color w:val="000000"/>
          <w:spacing w:val="-3"/>
          <w:sz w:val="24"/>
        </w:rPr>
        <w:t>)</w:t>
      </w:r>
    </w:p>
    <w:tbl>
      <w:tblPr>
        <w:tblStyle w:val="4"/>
        <w:tblW w:w="8980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5480"/>
        <w:gridCol w:w="1120"/>
        <w:gridCol w:w="96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Symbol</w:t>
            </w:r>
          </w:p>
        </w:tc>
        <w:tc>
          <w:tcPr>
            <w:tcW w:w="54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Parameter</w:t>
            </w:r>
          </w:p>
        </w:tc>
        <w:tc>
          <w:tcPr>
            <w:tcW w:w="1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Value</w:t>
            </w:r>
          </w:p>
        </w:tc>
        <w:tc>
          <w:tcPr>
            <w:tcW w:w="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Unit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T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J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Operating Junction Temperature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-55 to +150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°C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T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S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Storage Temperature Range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-55 to +150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°C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DS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Drain-to-Source Voltage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650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DS(transient)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Drain-to-Source Voltage - transient (Note a)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GS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Gate-to-Source Voltage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-10 to +7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GS(transient)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Gate-to-Source Voltage - transient (Note a)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-20 to +10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I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DS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Continuous Drain Current (Tcase = 25 °C)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I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DS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Continuous Drain Current (Tcase = 100 °C)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4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I</w:t>
            </w:r>
            <w:r>
              <w:rPr>
                <w:rFonts w:ascii="Calibri" w:hAnsi="Calibri" w:eastAsia="Times New Roman" w:cs="Calibri"/>
                <w:color w:val="000000"/>
                <w:sz w:val="14"/>
                <w:szCs w:val="18"/>
              </w:rPr>
              <w:t>DS Pulse</w:t>
            </w:r>
          </w:p>
        </w:tc>
        <w:tc>
          <w:tcPr>
            <w:tcW w:w="54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Pulse Drain Current (Pulse width 10 μs, VGS = 6 V) (Note b)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A</w:t>
            </w:r>
          </w:p>
        </w:tc>
      </w:tr>
    </w:tbl>
    <w:p>
      <w:pPr>
        <w:spacing w:after="0"/>
        <w:rPr>
          <w:sz w:val="18"/>
          <w:szCs w:val="18"/>
        </w:rPr>
      </w:pPr>
    </w:p>
    <w:p>
      <w:pPr>
        <w:spacing w:after="0"/>
        <w:rPr>
          <w:sz w:val="18"/>
          <w:szCs w:val="18"/>
        </w:rPr>
      </w:pPr>
    </w:p>
    <w:p>
      <w:pPr>
        <w:spacing w:after="0"/>
        <w:rPr>
          <w:sz w:val="18"/>
          <w:szCs w:val="18"/>
        </w:rPr>
      </w:pPr>
      <w:r>
        <w:rPr>
          <w:sz w:val="18"/>
          <w:szCs w:val="18"/>
        </w:rPr>
        <w:t>Notes:</w:t>
      </w:r>
    </w:p>
    <w:p>
      <w:pPr>
        <w:spacing w:after="0"/>
        <w:rPr>
          <w:rFonts w:hint="eastAsia" w:eastAsia="微软雅黑"/>
          <w:sz w:val="18"/>
          <w:szCs w:val="18"/>
          <w:lang w:eastAsia="zh-CN"/>
        </w:rPr>
      </w:pPr>
      <w:r>
        <w:rPr>
          <w:sz w:val="18"/>
          <w:szCs w:val="18"/>
        </w:rPr>
        <w:t xml:space="preserve">a. 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</w:rPr>
        <w:t>对于 ≤1 μs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  <w:lang w:eastAsia="zh-CN"/>
        </w:rPr>
        <w:t>。</w:t>
      </w:r>
    </w:p>
    <w:p>
      <w:pPr>
        <w:spacing w:after="0"/>
        <w:rPr>
          <w:rFonts w:hint="eastAsia" w:eastAsia="微软雅黑"/>
          <w:sz w:val="18"/>
          <w:szCs w:val="18"/>
          <w:lang w:val="en-US" w:eastAsia="zh-CN"/>
        </w:rPr>
      </w:pPr>
      <w:r>
        <w:rPr>
          <w:sz w:val="18"/>
          <w:szCs w:val="18"/>
        </w:rPr>
        <w:t xml:space="preserve">b. 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</w:rPr>
        <w:t>由产品设计和表征定义。在生产过程中，该值未测试到全电流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  <w:lang w:eastAsia="zh-CN"/>
        </w:rPr>
        <w:t>。</w:t>
      </w:r>
    </w:p>
    <w:p>
      <w:pPr>
        <w:autoSpaceDE w:val="0"/>
        <w:autoSpaceDN w:val="0"/>
        <w:adjustRightInd w:val="0"/>
        <w:spacing w:after="0" w:line="476" w:lineRule="exact"/>
      </w:pPr>
      <w:r>
        <w:t xml:space="preserve"> </w:t>
      </w:r>
      <w:r>
        <w:rPr>
          <w:rFonts w:hint="eastAsia" w:ascii="微软雅黑" w:hAnsi="微软雅黑" w:eastAsia="微软雅黑" w:cs="微软雅黑"/>
          <w:b/>
          <w:bCs/>
          <w:color w:val="000000"/>
          <w:spacing w:val="-3"/>
          <w:sz w:val="21"/>
          <w:szCs w:val="21"/>
        </w:rPr>
        <w:t>热特性 </w:t>
      </w:r>
      <w:r>
        <w:rPr>
          <w:rFonts w:ascii="Segoe UI" w:hAnsi="Segoe UI" w:cs="Segoe UI"/>
          <w:color w:val="000000"/>
          <w:spacing w:val="-4"/>
          <w:sz w:val="24"/>
        </w:rPr>
        <w:t>(</w:t>
      </w:r>
      <w:r>
        <w:rPr>
          <w:rFonts w:hint="eastAsia" w:ascii="Segoe UI" w:hAnsi="Segoe UI" w:cs="Segoe UI"/>
          <w:color w:val="000000"/>
          <w:spacing w:val="-4"/>
          <w:sz w:val="24"/>
        </w:rPr>
        <w:t>典型值，除非另有说明</w:t>
      </w:r>
      <w:r>
        <w:rPr>
          <w:rFonts w:ascii="Segoe UI" w:hAnsi="Segoe UI" w:cs="Segoe UI"/>
          <w:color w:val="000000"/>
          <w:spacing w:val="-3"/>
          <w:sz w:val="24"/>
        </w:rPr>
        <w:t>)</w:t>
      </w:r>
    </w:p>
    <w:tbl>
      <w:tblPr>
        <w:tblStyle w:val="4"/>
        <w:tblpPr w:leftFromText="180" w:rightFromText="180" w:vertAnchor="page" w:horzAnchor="page" w:tblpX="687" w:tblpY="7561"/>
        <w:tblW w:w="107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9"/>
        <w:gridCol w:w="4907"/>
        <w:gridCol w:w="1980"/>
        <w:gridCol w:w="19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1939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8" w:lineRule="exact"/>
              <w:ind w:left="650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Symbol</w:t>
            </w:r>
          </w:p>
        </w:tc>
        <w:tc>
          <w:tcPr>
            <w:tcW w:w="4907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8" w:lineRule="exact"/>
              <w:ind w:left="1992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Parameter</w:t>
            </w:r>
          </w:p>
        </w:tc>
        <w:tc>
          <w:tcPr>
            <w:tcW w:w="198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8" w:lineRule="exact"/>
              <w:ind w:left="683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Typical</w:t>
            </w:r>
          </w:p>
        </w:tc>
        <w:tc>
          <w:tcPr>
            <w:tcW w:w="197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8" w:lineRule="exact"/>
              <w:ind w:left="803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2"/>
                <w:sz w:val="20"/>
              </w:rPr>
              <w:t>Unit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939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90" w:lineRule="exact"/>
              <w:ind w:left="803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4"/>
                <w:sz w:val="20"/>
              </w:rPr>
              <w:t>R</w:t>
            </w:r>
            <w:r>
              <w:rPr>
                <w:rFonts w:cstheme="minorHAnsi"/>
                <w:color w:val="000000"/>
                <w:spacing w:val="-4"/>
                <w:sz w:val="13"/>
              </w:rPr>
              <w:t>Θ</w:t>
            </w:r>
            <w:r>
              <w:rPr>
                <w:rFonts w:cstheme="minorHAnsi"/>
                <w:color w:val="000000"/>
                <w:spacing w:val="-3"/>
                <w:sz w:val="13"/>
              </w:rPr>
              <w:t>JC</w:t>
            </w:r>
          </w:p>
        </w:tc>
        <w:tc>
          <w:tcPr>
            <w:tcW w:w="4907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88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2"/>
                <w:sz w:val="20"/>
              </w:rPr>
              <w:t>Thermal Resistance (Junction-to-case) -</w:t>
            </w:r>
            <w:r>
              <w:t xml:space="preserve"> </w:t>
            </w:r>
            <w:r>
              <w:rPr>
                <w:rFonts w:cstheme="minorHAnsi"/>
                <w:color w:val="000000"/>
                <w:spacing w:val="-2"/>
                <w:sz w:val="20"/>
              </w:rPr>
              <w:t>bottom side</w:t>
            </w:r>
          </w:p>
        </w:tc>
        <w:tc>
          <w:tcPr>
            <w:tcW w:w="198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88" w:lineRule="exact"/>
              <w:ind w:left="846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hint="eastAsia" w:cstheme="minorHAnsi"/>
                <w:color w:val="000000"/>
                <w:spacing w:val="-3"/>
                <w:sz w:val="20"/>
                <w:lang w:val="en-US" w:eastAsia="zh-CN"/>
              </w:rPr>
              <w:t>0.5</w:t>
            </w:r>
          </w:p>
        </w:tc>
        <w:tc>
          <w:tcPr>
            <w:tcW w:w="197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88" w:lineRule="exact"/>
              <w:ind w:left="741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°C/W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exact"/>
        </w:trPr>
        <w:tc>
          <w:tcPr>
            <w:tcW w:w="1939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80" w:lineRule="exact"/>
              <w:ind w:left="808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4"/>
                <w:sz w:val="20"/>
              </w:rPr>
              <w:t>R</w:t>
            </w:r>
            <w:r>
              <w:rPr>
                <w:rFonts w:cstheme="minorHAnsi"/>
                <w:color w:val="000000"/>
                <w:spacing w:val="-4"/>
                <w:sz w:val="13"/>
              </w:rPr>
              <w:t>Θ</w:t>
            </w:r>
            <w:r>
              <w:rPr>
                <w:rFonts w:cstheme="minorHAnsi"/>
                <w:color w:val="000000"/>
                <w:spacing w:val="-3"/>
                <w:sz w:val="13"/>
              </w:rPr>
              <w:t>JA</w:t>
            </w:r>
          </w:p>
        </w:tc>
        <w:tc>
          <w:tcPr>
            <w:tcW w:w="4907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9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2"/>
                <w:sz w:val="20"/>
              </w:rPr>
              <w:t>Thermal Resistance (Junction-to-ambient) (Note c)</w:t>
            </w:r>
          </w:p>
        </w:tc>
        <w:tc>
          <w:tcPr>
            <w:tcW w:w="198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9" w:lineRule="exact"/>
              <w:ind w:left="870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hint="eastAsia" w:cstheme="minorHAnsi"/>
                <w:lang w:val="en-US" w:eastAsia="zh-CN"/>
              </w:rPr>
              <w:t>35</w:t>
            </w:r>
          </w:p>
        </w:tc>
        <w:tc>
          <w:tcPr>
            <w:tcW w:w="197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9" w:lineRule="exact"/>
              <w:ind w:left="741" w:right="-239"/>
              <w:rPr>
                <w:rFonts w:cstheme="minorHAnsi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°C/W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exact"/>
        </w:trPr>
        <w:tc>
          <w:tcPr>
            <w:tcW w:w="1939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80" w:lineRule="exact"/>
              <w:ind w:left="808" w:right="-239"/>
              <w:rPr>
                <w:rFonts w:cstheme="minorHAnsi"/>
                <w:color w:val="000000"/>
                <w:spacing w:val="-4"/>
                <w:sz w:val="20"/>
              </w:rPr>
            </w:pPr>
            <w:r>
              <w:rPr>
                <w:rFonts w:cstheme="minorHAnsi"/>
                <w:color w:val="000000"/>
                <w:spacing w:val="-4"/>
                <w:sz w:val="20"/>
              </w:rPr>
              <w:t>T</w:t>
            </w:r>
            <w:r>
              <w:rPr>
                <w:rFonts w:cstheme="minorHAnsi"/>
                <w:color w:val="000000"/>
                <w:spacing w:val="-4"/>
                <w:sz w:val="12"/>
              </w:rPr>
              <w:t>SOLD</w:t>
            </w:r>
          </w:p>
        </w:tc>
        <w:tc>
          <w:tcPr>
            <w:tcW w:w="4907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9" w:lineRule="exact"/>
              <w:ind w:left="112" w:right="-239"/>
              <w:rPr>
                <w:rFonts w:cstheme="minorHAnsi"/>
                <w:color w:val="000000"/>
                <w:spacing w:val="-2"/>
                <w:sz w:val="20"/>
              </w:rPr>
            </w:pPr>
            <w:r>
              <w:rPr>
                <w:rFonts w:cstheme="minorHAnsi"/>
                <w:color w:val="000000"/>
                <w:spacing w:val="-2"/>
                <w:sz w:val="20"/>
              </w:rPr>
              <w:t>Maximum Soldering Temperature (MSL3 rated)</w:t>
            </w:r>
          </w:p>
        </w:tc>
        <w:tc>
          <w:tcPr>
            <w:tcW w:w="198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9" w:lineRule="exact"/>
              <w:ind w:left="870" w:right="-239"/>
              <w:rPr>
                <w:rFonts w:cstheme="minorHAnsi"/>
                <w:color w:val="000000"/>
                <w:spacing w:val="-3"/>
                <w:sz w:val="20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260</w:t>
            </w:r>
          </w:p>
        </w:tc>
        <w:tc>
          <w:tcPr>
            <w:tcW w:w="197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9" w:lineRule="exact"/>
              <w:ind w:left="741" w:right="-239"/>
              <w:rPr>
                <w:rFonts w:cstheme="minorHAnsi"/>
                <w:color w:val="000000"/>
                <w:spacing w:val="-3"/>
                <w:sz w:val="20"/>
              </w:rPr>
            </w:pPr>
            <w:r>
              <w:rPr>
                <w:rFonts w:cstheme="minorHAnsi"/>
                <w:color w:val="000000"/>
                <w:spacing w:val="-3"/>
                <w:sz w:val="20"/>
              </w:rPr>
              <w:t>°C</w:t>
            </w:r>
          </w:p>
        </w:tc>
      </w:tr>
    </w:tbl>
    <w:p/>
    <w:p>
      <w:pPr>
        <w:spacing w:after="0"/>
        <w:rPr>
          <w:sz w:val="18"/>
          <w:szCs w:val="18"/>
        </w:rPr>
      </w:pPr>
      <w:r>
        <w:rPr>
          <w:sz w:val="18"/>
          <w:szCs w:val="18"/>
        </w:rPr>
        <w:t>Notes:</w:t>
      </w:r>
    </w:p>
    <w:p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c. 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</w:rPr>
        <w:t>器件安装在 1.6 mm PCB 厚度 FR4、4 层 PCB 上，每层有 2 盎司铜。 导热垫下方的导热过孔建议直径为 0.3 mm (12 mil)，间距为 0.635 mm (25 mil)。 散热焊盘和漏极焊盘下方的铜层均为 25 x 25 mm2。 PCB 水平安装，无需气流冷却。</w:t>
      </w:r>
      <w:r>
        <w:rPr>
          <w:sz w:val="18"/>
          <w:szCs w:val="18"/>
        </w:rPr>
        <w:br w:type="page"/>
      </w:r>
    </w:p>
    <w:p/>
    <w:p>
      <w:pPr>
        <w:autoSpaceDE w:val="0"/>
        <w:autoSpaceDN w:val="0"/>
        <w:adjustRightInd w:val="0"/>
        <w:spacing w:after="0" w:line="476" w:lineRule="exact"/>
      </w:pPr>
      <w:r>
        <w:rPr>
          <w:rFonts w:hint="eastAsia" w:ascii="微软雅黑" w:hAnsi="微软雅黑" w:eastAsia="微软雅黑" w:cs="微软雅黑"/>
          <w:b/>
          <w:bCs/>
          <w:color w:val="000000"/>
          <w:spacing w:val="-3"/>
          <w:sz w:val="21"/>
          <w:szCs w:val="21"/>
        </w:rPr>
        <w:t>电气特性</w:t>
      </w:r>
      <w:r>
        <w:rPr>
          <w:rFonts w:ascii="Calibri" w:hAnsi="Calibri" w:cs="Calibri"/>
          <w:color w:val="000000"/>
          <w:spacing w:val="13"/>
          <w:sz w:val="28"/>
        </w:rPr>
        <w:t> </w:t>
      </w:r>
      <w:r>
        <w:rPr>
          <w:rFonts w:ascii="Segoe UI" w:hAnsi="Segoe UI" w:cs="Segoe UI"/>
          <w:color w:val="000000"/>
          <w:spacing w:val="-2"/>
          <w:sz w:val="28"/>
        </w:rPr>
        <w:t>(</w:t>
      </w:r>
      <w:r>
        <w:rPr>
          <w:rFonts w:ascii="Calibri" w:hAnsi="Calibri" w:cs="Calibri"/>
          <w:color w:val="000000"/>
          <w:spacing w:val="12"/>
          <w:sz w:val="22"/>
        </w:rPr>
        <w:t> </w:t>
      </w:r>
      <w:r>
        <w:rPr>
          <w:rFonts w:ascii="Segoe UI" w:hAnsi="Segoe UI" w:cs="Segoe UI"/>
          <w:color w:val="000000"/>
          <w:spacing w:val="-4"/>
          <w:position w:val="2"/>
          <w:sz w:val="22"/>
        </w:rPr>
        <w:t>T</w:t>
      </w:r>
      <w:r>
        <w:rPr>
          <w:rFonts w:ascii="Segoe UI" w:hAnsi="Segoe UI" w:cs="Segoe UI"/>
          <w:color w:val="000000"/>
          <w:spacing w:val="-2"/>
          <w:position w:val="3"/>
          <w:sz w:val="14"/>
        </w:rPr>
        <w:t>J</w:t>
      </w:r>
      <w:r>
        <w:rPr>
          <w:rFonts w:ascii="Calibri" w:hAnsi="Calibri" w:cs="Calibri"/>
          <w:color w:val="000000"/>
          <w:spacing w:val="8"/>
          <w:sz w:val="22"/>
        </w:rPr>
        <w:t> </w:t>
      </w:r>
      <w:r>
        <w:rPr>
          <w:rFonts w:ascii="Segoe UI" w:hAnsi="Segoe UI" w:cs="Segoe UI"/>
          <w:color w:val="000000"/>
          <w:spacing w:val="-4"/>
          <w:position w:val="2"/>
          <w:sz w:val="22"/>
        </w:rPr>
        <w:t>=</w:t>
      </w:r>
      <w:r>
        <w:rPr>
          <w:rFonts w:ascii="Calibri" w:hAnsi="Calibri" w:cs="Calibri"/>
          <w:color w:val="000000"/>
          <w:spacing w:val="8"/>
          <w:sz w:val="22"/>
        </w:rPr>
        <w:t> </w:t>
      </w:r>
      <w:r>
        <w:rPr>
          <w:rFonts w:ascii="Segoe UI" w:hAnsi="Segoe UI" w:cs="Segoe UI"/>
          <w:color w:val="000000"/>
          <w:spacing w:val="-3"/>
          <w:position w:val="2"/>
          <w:sz w:val="22"/>
        </w:rPr>
        <w:t>25</w:t>
      </w:r>
      <w:r>
        <w:rPr>
          <w:rFonts w:ascii="Calibri" w:hAnsi="Calibri" w:cs="Calibri"/>
          <w:color w:val="000000"/>
          <w:spacing w:val="6"/>
          <w:sz w:val="22"/>
        </w:rPr>
        <w:t> </w:t>
      </w:r>
      <w:r>
        <w:rPr>
          <w:rFonts w:ascii="Segoe UI" w:hAnsi="Segoe UI" w:cs="Segoe UI"/>
          <w:color w:val="000000"/>
          <w:spacing w:val="-2"/>
          <w:position w:val="2"/>
          <w:sz w:val="22"/>
        </w:rPr>
        <w:t>°C,</w:t>
      </w:r>
      <w:r>
        <w:rPr>
          <w:rFonts w:ascii="Calibri" w:hAnsi="Calibri" w:cs="Calibri"/>
          <w:color w:val="000000"/>
          <w:spacing w:val="5"/>
          <w:sz w:val="22"/>
        </w:rPr>
        <w:t> </w:t>
      </w:r>
      <w:r>
        <w:rPr>
          <w:rFonts w:ascii="Segoe UI" w:hAnsi="Segoe UI" w:cs="Segoe UI"/>
          <w:color w:val="000000"/>
          <w:spacing w:val="-4"/>
          <w:position w:val="2"/>
          <w:sz w:val="22"/>
        </w:rPr>
        <w:t>V</w:t>
      </w:r>
      <w:r>
        <w:rPr>
          <w:rFonts w:ascii="Segoe UI" w:hAnsi="Segoe UI" w:cs="Segoe UI"/>
          <w:color w:val="000000"/>
          <w:spacing w:val="-3"/>
          <w:position w:val="3"/>
          <w:sz w:val="14"/>
        </w:rPr>
        <w:t>GS</w:t>
      </w:r>
      <w:r>
        <w:rPr>
          <w:rFonts w:ascii="Calibri" w:hAnsi="Calibri" w:cs="Calibri"/>
          <w:color w:val="000000"/>
          <w:spacing w:val="3"/>
          <w:sz w:val="22"/>
        </w:rPr>
        <w:t> </w:t>
      </w:r>
      <w:r>
        <w:rPr>
          <w:rFonts w:ascii="Segoe UI" w:hAnsi="Segoe UI" w:cs="Segoe UI"/>
          <w:color w:val="000000"/>
          <w:spacing w:val="-4"/>
          <w:position w:val="2"/>
          <w:sz w:val="22"/>
        </w:rPr>
        <w:t>=</w:t>
      </w:r>
      <w:r>
        <w:rPr>
          <w:rFonts w:ascii="Calibri" w:hAnsi="Calibri" w:cs="Calibri"/>
          <w:color w:val="000000"/>
          <w:spacing w:val="13"/>
          <w:sz w:val="22"/>
        </w:rPr>
        <w:t> </w:t>
      </w:r>
      <w:r>
        <w:rPr>
          <w:rFonts w:ascii="Segoe UI" w:hAnsi="Segoe UI" w:cs="Segoe UI"/>
          <w:color w:val="000000"/>
          <w:spacing w:val="-3"/>
          <w:position w:val="2"/>
          <w:sz w:val="22"/>
        </w:rPr>
        <w:t>6</w:t>
      </w:r>
      <w:r>
        <w:rPr>
          <w:rFonts w:ascii="Calibri" w:hAnsi="Calibri" w:cs="Calibri"/>
          <w:color w:val="000000"/>
          <w:spacing w:val="6"/>
          <w:sz w:val="22"/>
        </w:rPr>
        <w:t> </w:t>
      </w:r>
      <w:r>
        <w:rPr>
          <w:rFonts w:ascii="Segoe UI" w:hAnsi="Segoe UI" w:cs="Segoe UI"/>
          <w:color w:val="000000"/>
          <w:spacing w:val="-4"/>
          <w:position w:val="2"/>
          <w:sz w:val="22"/>
        </w:rPr>
        <w:t>V</w:t>
      </w:r>
      <w:r>
        <w:rPr>
          <w:rFonts w:ascii="Calibri" w:hAnsi="Calibri" w:cs="Calibri"/>
          <w:color w:val="000000"/>
          <w:spacing w:val="7"/>
          <w:sz w:val="22"/>
        </w:rPr>
        <w:t> </w:t>
      </w:r>
      <w:r>
        <w:rPr>
          <w:rFonts w:hint="eastAsia" w:ascii="Calibri" w:hAnsi="Calibri" w:cs="Calibri"/>
          <w:color w:val="000000"/>
          <w:spacing w:val="7"/>
          <w:sz w:val="22"/>
        </w:rPr>
        <w:t>除非另有说明</w:t>
      </w:r>
      <w:r>
        <w:rPr>
          <w:rFonts w:ascii="Segoe UI" w:hAnsi="Segoe UI" w:cs="Segoe UI"/>
          <w:color w:val="000000"/>
          <w:spacing w:val="-4"/>
          <w:position w:val="2"/>
          <w:sz w:val="22"/>
        </w:rPr>
        <w:t>)</w:t>
      </w:r>
    </w:p>
    <w:tbl>
      <w:tblPr>
        <w:tblStyle w:val="4"/>
        <w:tblpPr w:leftFromText="180" w:rightFromText="180" w:vertAnchor="page" w:horzAnchor="margin" w:tblpY="2411"/>
        <w:tblW w:w="109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2"/>
        <w:gridCol w:w="3650"/>
        <w:gridCol w:w="810"/>
        <w:gridCol w:w="817"/>
        <w:gridCol w:w="785"/>
        <w:gridCol w:w="859"/>
        <w:gridCol w:w="2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196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Symbol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1360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Parameter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236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Min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259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Typ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200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Max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246" w:right="-239"/>
              <w:rPr>
                <w:rFonts w:cstheme="minorHAnsi"/>
              </w:rPr>
            </w:pPr>
            <w:r>
              <w:rPr>
                <w:rFonts w:cstheme="minorHAnsi"/>
                <w:spacing w:val="-2"/>
                <w:sz w:val="20"/>
              </w:rPr>
              <w:t>Unit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</w:tcPr>
          <w:p>
            <w:pPr>
              <w:spacing w:after="0" w:line="275" w:lineRule="exact"/>
              <w:ind w:left="818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Test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2"/>
                <w:sz w:val="20"/>
              </w:rPr>
              <w:t>Conditions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36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(BL)DSS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Drain-source</w:t>
            </w:r>
            <w:r>
              <w:rPr>
                <w:rFonts w:cstheme="minorHAnsi"/>
                <w:spacing w:val="4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voltage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26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650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41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73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>=0V,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</w:rPr>
              <w:t xml:space="preserve">IDSS ≤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5</w:t>
            </w:r>
            <w:r>
              <w:rPr>
                <w:rFonts w:hint="eastAsia" w:cstheme="minorHAnsi"/>
                <w:spacing w:val="-3"/>
                <w:sz w:val="20"/>
              </w:rPr>
              <w:t>8 μA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3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R</w:t>
            </w:r>
            <w:r>
              <w:rPr>
                <w:rFonts w:cstheme="minorHAnsi"/>
                <w:spacing w:val="-3"/>
                <w:sz w:val="13"/>
              </w:rPr>
              <w:t>DS(on)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Drain-source on-resistance</w:t>
            </w:r>
            <w:r>
              <w:rPr>
                <w:rFonts w:cstheme="minorHAnsi"/>
                <w:w w:val="168"/>
                <w:sz w:val="13"/>
              </w:rPr>
              <w:t> 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2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hint="default" w:eastAsiaTheme="minorEastAsia" w:cstheme="minorHAnsi"/>
                <w:spacing w:val="-4"/>
                <w:sz w:val="20"/>
                <w:lang w:val="en-US" w:eastAsia="zh-CN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</w:t>
            </w:r>
            <w:r>
              <w:rPr>
                <w:rFonts w:hint="eastAsia" w:cstheme="minorHAnsi"/>
                <w:spacing w:val="-4"/>
                <w:sz w:val="20"/>
                <w:lang w:val="en-US" w:eastAsia="zh-CN"/>
              </w:rPr>
              <w:t>50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hint="default" w:eastAsiaTheme="minorEastAsia" w:cstheme="minorHAnsi"/>
                <w:spacing w:val="-4"/>
                <w:sz w:val="20"/>
                <w:lang w:val="en-US" w:eastAsia="zh-CN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</w:t>
            </w:r>
            <w:r>
              <w:rPr>
                <w:rFonts w:hint="eastAsia" w:cstheme="minorHAnsi"/>
                <w:spacing w:val="-4"/>
                <w:sz w:val="20"/>
                <w:lang w:val="en-US" w:eastAsia="zh-CN"/>
              </w:rPr>
              <w:t>68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mΩ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4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 xml:space="preserve"> = 6 V, T</w:t>
            </w:r>
            <w:r>
              <w:rPr>
                <w:rFonts w:cstheme="minorHAnsi"/>
                <w:spacing w:val="-3"/>
                <w:sz w:val="14"/>
              </w:rPr>
              <w:t xml:space="preserve">J </w:t>
            </w:r>
            <w:r>
              <w:rPr>
                <w:rFonts w:cstheme="minorHAnsi"/>
                <w:spacing w:val="-3"/>
                <w:sz w:val="20"/>
              </w:rPr>
              <w:t>= 25 °C, I</w:t>
            </w:r>
            <w:r>
              <w:rPr>
                <w:rFonts w:cstheme="minorHAnsi"/>
                <w:spacing w:val="-3"/>
                <w:sz w:val="14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 xml:space="preserve"> =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5.5</w:t>
            </w:r>
            <w:r>
              <w:rPr>
                <w:rFonts w:cstheme="minorHAnsi"/>
                <w:spacing w:val="-3"/>
                <w:sz w:val="20"/>
              </w:rPr>
              <w:t xml:space="preserve"> 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3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R</w:t>
            </w:r>
            <w:r>
              <w:rPr>
                <w:rFonts w:cstheme="minorHAnsi"/>
                <w:spacing w:val="-3"/>
                <w:sz w:val="13"/>
              </w:rPr>
              <w:t>DS(on)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Drain-source on-resistance</w:t>
            </w:r>
            <w:r>
              <w:rPr>
                <w:rFonts w:cstheme="minorHAnsi"/>
                <w:w w:val="168"/>
                <w:sz w:val="13"/>
              </w:rPr>
              <w:t> 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2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hint="default" w:eastAsiaTheme="minorEastAsia" w:cstheme="minorHAnsi"/>
                <w:spacing w:val="-4"/>
                <w:sz w:val="20"/>
                <w:lang w:val="en-US" w:eastAsia="zh-CN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</w:t>
            </w:r>
            <w:r>
              <w:rPr>
                <w:rFonts w:hint="eastAsia" w:cstheme="minorHAnsi"/>
                <w:spacing w:val="-4"/>
                <w:sz w:val="20"/>
                <w:lang w:val="en-US" w:eastAsia="zh-CN"/>
              </w:rPr>
              <w:t>127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mΩ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4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 xml:space="preserve"> = 6 V, T</w:t>
            </w:r>
            <w:r>
              <w:rPr>
                <w:rFonts w:cstheme="minorHAnsi"/>
                <w:spacing w:val="-3"/>
                <w:sz w:val="14"/>
              </w:rPr>
              <w:t>J</w:t>
            </w:r>
            <w:r>
              <w:rPr>
                <w:rFonts w:cstheme="minorHAnsi"/>
                <w:spacing w:val="-3"/>
                <w:sz w:val="20"/>
              </w:rPr>
              <w:t xml:space="preserve"> = 150 °C, I</w:t>
            </w:r>
            <w:r>
              <w:rPr>
                <w:rFonts w:cstheme="minorHAnsi"/>
                <w:spacing w:val="-3"/>
                <w:sz w:val="14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 xml:space="preserve"> =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5.5</w:t>
            </w:r>
            <w:r>
              <w:rPr>
                <w:rFonts w:cstheme="minorHAnsi"/>
                <w:spacing w:val="-3"/>
                <w:sz w:val="20"/>
              </w:rPr>
              <w:t xml:space="preserve"> 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36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2"/>
                <w:sz w:val="13"/>
              </w:rPr>
              <w:t>GS(th)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Gate-to-Source Threshold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2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 xml:space="preserve"> 1.1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1.7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2.6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 </w:t>
            </w:r>
            <w:r>
              <w:rPr>
                <w:rFonts w:cstheme="minorHAnsi"/>
                <w:spacing w:val="-3"/>
                <w:sz w:val="20"/>
              </w:rPr>
              <w:t xml:space="preserve"> V</w:t>
            </w:r>
            <w:r>
              <w:rPr>
                <w:rFonts w:cstheme="minorHAnsi"/>
                <w:spacing w:val="-4"/>
                <w:sz w:val="20"/>
              </w:rPr>
              <w:t xml:space="preserve">  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4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 xml:space="preserve"> = V</w:t>
            </w:r>
            <w:r>
              <w:rPr>
                <w:rFonts w:cstheme="minorHAnsi"/>
                <w:spacing w:val="-3"/>
                <w:sz w:val="14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>, I</w:t>
            </w:r>
            <w:r>
              <w:rPr>
                <w:rFonts w:cstheme="minorHAnsi"/>
                <w:spacing w:val="-3"/>
                <w:sz w:val="14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 xml:space="preserve"> =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7.5</w:t>
            </w:r>
            <w:r>
              <w:rPr>
                <w:rFonts w:cstheme="minorHAnsi"/>
                <w:spacing w:val="-3"/>
                <w:sz w:val="20"/>
              </w:rPr>
              <w:t>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3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I</w:t>
            </w:r>
            <w:r>
              <w:rPr>
                <w:rFonts w:cstheme="minorHAnsi"/>
                <w:spacing w:val="-3"/>
                <w:sz w:val="14"/>
              </w:rPr>
              <w:t>GS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Gate-to-Source Current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2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hint="default" w:eastAsiaTheme="minorEastAsia" w:cstheme="minorHAnsi"/>
                <w:spacing w:val="-4"/>
                <w:sz w:val="20"/>
                <w:lang w:val="en-US" w:eastAsia="zh-CN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</w:t>
            </w:r>
            <w:r>
              <w:rPr>
                <w:rFonts w:hint="eastAsia" w:cstheme="minorHAnsi"/>
                <w:spacing w:val="-4"/>
                <w:sz w:val="20"/>
                <w:lang w:val="en-US" w:eastAsia="zh-CN"/>
              </w:rPr>
              <w:t>182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 µA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>=6V,  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3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4"/>
              </w:rPr>
              <w:t>plat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Gate Plateau Voltage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2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3.5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 V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=400V,  I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30</w:t>
            </w:r>
            <w:r>
              <w:rPr>
                <w:rFonts w:cstheme="minorHAnsi"/>
                <w:spacing w:val="-3"/>
                <w:sz w:val="20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</w:trPr>
        <w:tc>
          <w:tcPr>
            <w:tcW w:w="1032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40" w:lineRule="exact"/>
              <w:ind w:left="373" w:right="-239"/>
              <w:rPr>
                <w:rFonts w:cstheme="minorHAnsi"/>
              </w:rPr>
            </w:pPr>
          </w:p>
          <w:p>
            <w:pPr>
              <w:spacing w:after="0" w:line="316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2"/>
                <w:sz w:val="20"/>
              </w:rPr>
              <w:t xml:space="preserve">     I</w:t>
            </w:r>
            <w:r>
              <w:rPr>
                <w:rFonts w:cstheme="minorHAnsi"/>
                <w:spacing w:val="-3"/>
                <w:sz w:val="13"/>
              </w:rPr>
              <w:t>DSS</w:t>
            </w:r>
          </w:p>
        </w:tc>
        <w:tc>
          <w:tcPr>
            <w:tcW w:w="3650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15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Drain-to-source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2"/>
                <w:sz w:val="20"/>
              </w:rPr>
              <w:t>leakage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current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2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 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2" w:lineRule="exact"/>
              <w:ind w:right="-239"/>
              <w:rPr>
                <w:rFonts w:hint="eastAsia" w:eastAsiaTheme="minorEastAsia" w:cstheme="minorHAnsi"/>
                <w:lang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2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2" w:lineRule="exact"/>
              <w:ind w:left="272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58</w:t>
            </w:r>
          </w:p>
        </w:tc>
        <w:tc>
          <w:tcPr>
            <w:tcW w:w="859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40" w:lineRule="exact"/>
              <w:ind w:left="323" w:right="-239"/>
              <w:rPr>
                <w:rFonts w:cstheme="minorHAnsi"/>
              </w:rPr>
            </w:pPr>
          </w:p>
          <w:p>
            <w:pPr>
              <w:spacing w:after="0" w:line="315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µA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3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=650V,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>=0V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</w:trPr>
        <w:tc>
          <w:tcPr>
            <w:tcW w:w="1032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323" w:lineRule="exact"/>
              <w:rPr>
                <w:rFonts w:cstheme="minorHAnsi"/>
              </w:rPr>
            </w:pPr>
          </w:p>
        </w:tc>
        <w:tc>
          <w:tcPr>
            <w:tcW w:w="3650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323" w:lineRule="exact"/>
              <w:rPr>
                <w:rFonts w:cstheme="minorHAnsi"/>
              </w:rPr>
            </w:pP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1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1" w:lineRule="exact"/>
              <w:ind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70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1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 —</w:t>
            </w:r>
          </w:p>
        </w:tc>
        <w:tc>
          <w:tcPr>
            <w:tcW w:w="859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321" w:lineRule="exact"/>
              <w:rPr>
                <w:rFonts w:cstheme="minorHAnsi"/>
              </w:rPr>
            </w:pP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23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=650V,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>=0V,</w:t>
            </w:r>
            <w:r>
              <w:rPr>
                <w:rFonts w:cstheme="minorHAnsi"/>
                <w:spacing w:val="3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T</w:t>
            </w:r>
            <w:r>
              <w:rPr>
                <w:rFonts w:cstheme="minorHAnsi"/>
                <w:spacing w:val="-2"/>
                <w:sz w:val="13"/>
              </w:rPr>
              <w:t>J</w:t>
            </w:r>
            <w:r>
              <w:rPr>
                <w:rFonts w:cstheme="minorHAnsi"/>
                <w:spacing w:val="-3"/>
                <w:sz w:val="20"/>
              </w:rPr>
              <w:t>=150°C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40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R</w:t>
            </w:r>
            <w:r>
              <w:rPr>
                <w:rFonts w:cstheme="minorHAnsi"/>
                <w:sz w:val="14"/>
              </w:rPr>
              <w:t>G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4" w:lineRule="exact"/>
              <w:ind w:left="112" w:right="-239"/>
              <w:rPr>
                <w:rFonts w:cstheme="minorHAnsi"/>
                <w:spacing w:val="-2"/>
                <w:sz w:val="20"/>
              </w:rPr>
            </w:pPr>
            <w:r>
              <w:rPr>
                <w:rFonts w:cstheme="minorHAnsi"/>
                <w:spacing w:val="-2"/>
                <w:sz w:val="20"/>
              </w:rPr>
              <w:t>Internal Gate Resistance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4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4" w:lineRule="exact"/>
              <w:ind w:right="-239"/>
              <w:rPr>
                <w:rFonts w:hint="eastAsia" w:eastAsiaTheme="minorEastAsia" w:cstheme="minorHAnsi"/>
                <w:spacing w:val="-4"/>
                <w:sz w:val="20"/>
                <w:lang w:eastAsia="zh-CN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 1.</w:t>
            </w:r>
            <w:r>
              <w:rPr>
                <w:rFonts w:hint="eastAsia" w:cstheme="minorHAnsi"/>
                <w:spacing w:val="-4"/>
                <w:sz w:val="20"/>
                <w:lang w:val="en-US" w:eastAsia="zh-CN"/>
              </w:rPr>
              <w:t>3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4" w:lineRule="exact"/>
              <w:ind w:left="215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40" w:lineRule="exact"/>
              <w:ind w:left="320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Ω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6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f = 5 MHz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8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C</w:t>
            </w:r>
            <w:r>
              <w:rPr>
                <w:rFonts w:cstheme="minorHAnsi"/>
                <w:spacing w:val="-2"/>
                <w:sz w:val="13"/>
              </w:rPr>
              <w:t>ISS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7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Input</w:t>
            </w:r>
            <w:r>
              <w:rPr>
                <w:rFonts w:cstheme="minorHAnsi"/>
                <w:spacing w:val="3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capacitance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7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7" w:lineRule="exact"/>
              <w:ind w:left="172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235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7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409" w:lineRule="exact"/>
              <w:ind w:left="325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pF</w:t>
            </w:r>
          </w:p>
        </w:tc>
        <w:tc>
          <w:tcPr>
            <w:tcW w:w="2993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410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2"/>
                <w:sz w:val="20"/>
              </w:rPr>
              <w:t>=0V,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=400V,</w:t>
            </w:r>
            <w:r>
              <w:rPr>
                <w:rFonts w:cstheme="minorHAnsi"/>
                <w:i/>
                <w:spacing w:val="4"/>
                <w:sz w:val="20"/>
              </w:rPr>
              <w:t> </w:t>
            </w:r>
            <w:r>
              <w:rPr>
                <w:rFonts w:cstheme="minorHAnsi"/>
                <w:iCs/>
                <w:spacing w:val="-2"/>
                <w:sz w:val="20"/>
              </w:rPr>
              <w:t>f</w:t>
            </w:r>
            <w:r>
              <w:rPr>
                <w:rFonts w:cstheme="minorHAnsi"/>
                <w:spacing w:val="-4"/>
                <w:sz w:val="20"/>
              </w:rPr>
              <w:t>=100kHz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1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C</w:t>
            </w:r>
            <w:r>
              <w:rPr>
                <w:rFonts w:cstheme="minorHAnsi"/>
                <w:spacing w:val="-3"/>
                <w:sz w:val="13"/>
              </w:rPr>
              <w:t>OSS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0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Output</w:t>
            </w:r>
            <w:r>
              <w:rPr>
                <w:rFonts w:cstheme="minorHAnsi"/>
                <w:spacing w:val="3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capacitance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0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0" w:lineRule="exact"/>
              <w:ind w:left="230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60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0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70" w:lineRule="exact"/>
              <w:rPr>
                <w:rFonts w:cstheme="minorHAnsi"/>
              </w:rPr>
            </w:pP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70" w:lineRule="exact"/>
              <w:rPr>
                <w:rFonts w:cstheme="minorHAns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C</w:t>
            </w:r>
            <w:r>
              <w:rPr>
                <w:rFonts w:cstheme="minorHAnsi"/>
                <w:spacing w:val="-3"/>
                <w:sz w:val="13"/>
              </w:rPr>
              <w:t>RSS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Reverse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2"/>
                <w:sz w:val="20"/>
              </w:rPr>
              <w:t>transfer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capacitance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right="-239"/>
              <w:rPr>
                <w:rFonts w:hint="eastAsia" w:eastAsiaTheme="minorEastAsia" w:cstheme="minorHAnsi"/>
                <w:lang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 0.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6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82" w:lineRule="exact"/>
              <w:rPr>
                <w:rFonts w:cstheme="minorHAnsi"/>
              </w:rPr>
            </w:pP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82" w:lineRule="exact"/>
              <w:rPr>
                <w:rFonts w:cstheme="minorHAns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C</w:t>
            </w:r>
            <w:r>
              <w:rPr>
                <w:rFonts w:cstheme="minorHAnsi"/>
                <w:spacing w:val="-3"/>
                <w:sz w:val="13"/>
              </w:rPr>
              <w:t>O(ER)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23" w:lineRule="exact"/>
              <w:ind w:left="112" w:right="-239"/>
              <w:rPr>
                <w:rFonts w:cstheme="minorHAnsi"/>
                <w:sz w:val="18"/>
              </w:rPr>
            </w:pPr>
            <w:r>
              <w:rPr>
                <w:rFonts w:cstheme="minorHAnsi"/>
                <w:spacing w:val="-3"/>
                <w:sz w:val="18"/>
              </w:rPr>
              <w:t>Effective Output Capacitance, Energy Related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30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96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34" w:lineRule="exact"/>
              <w:ind w:left="325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pF</w:t>
            </w:r>
          </w:p>
        </w:tc>
        <w:tc>
          <w:tcPr>
            <w:tcW w:w="2993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35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2"/>
                <w:sz w:val="20"/>
              </w:rPr>
              <w:t>=0V,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=0V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2"/>
                <w:sz w:val="20"/>
              </w:rPr>
              <w:t>to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400V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C</w:t>
            </w:r>
            <w:r>
              <w:rPr>
                <w:rFonts w:cstheme="minorHAnsi"/>
                <w:spacing w:val="-2"/>
                <w:sz w:val="13"/>
              </w:rPr>
              <w:t>O(TR)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23" w:lineRule="exact"/>
              <w:ind w:left="112" w:right="-239"/>
              <w:rPr>
                <w:rFonts w:cstheme="minorHAnsi"/>
                <w:sz w:val="18"/>
              </w:rPr>
            </w:pPr>
            <w:r>
              <w:rPr>
                <w:rFonts w:cstheme="minorHAnsi"/>
                <w:spacing w:val="2"/>
                <w:sz w:val="18"/>
              </w:rPr>
              <w:t>Effective Output Capacitance, Time Related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230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150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2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82" w:lineRule="exact"/>
              <w:rPr>
                <w:rFonts w:cstheme="minorHAnsi"/>
              </w:rPr>
            </w:pP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82" w:lineRule="exact"/>
              <w:rPr>
                <w:rFonts w:cstheme="minorHAns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1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Q</w:t>
            </w:r>
            <w:r>
              <w:rPr>
                <w:rFonts w:cstheme="minorHAnsi"/>
                <w:spacing w:val="-4"/>
                <w:sz w:val="13"/>
              </w:rPr>
              <w:t>G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9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Total</w:t>
            </w:r>
            <w:r>
              <w:rPr>
                <w:rFonts w:cstheme="minorHAnsi"/>
                <w:spacing w:val="3"/>
                <w:sz w:val="20"/>
              </w:rPr>
              <w:t> </w:t>
            </w:r>
            <w:r>
              <w:rPr>
                <w:rFonts w:cstheme="minorHAnsi"/>
                <w:spacing w:val="-2"/>
                <w:sz w:val="20"/>
              </w:rPr>
              <w:t>gate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charge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9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9" w:lineRule="exact"/>
              <w:ind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  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6.7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9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419" w:lineRule="exact"/>
              <w:ind w:left="316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nC</w:t>
            </w:r>
          </w:p>
        </w:tc>
        <w:tc>
          <w:tcPr>
            <w:tcW w:w="2993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305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2"/>
                <w:sz w:val="20"/>
              </w:rPr>
              <w:t>=400V,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>=0V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2"/>
                <w:sz w:val="20"/>
              </w:rPr>
              <w:t>to</w:t>
            </w:r>
            <w:r>
              <w:rPr>
                <w:rFonts w:cstheme="minorHAnsi"/>
                <w:spacing w:val="2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6V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8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Q</w:t>
            </w:r>
            <w:r>
              <w:rPr>
                <w:rFonts w:cstheme="minorHAnsi"/>
                <w:spacing w:val="-3"/>
                <w:sz w:val="13"/>
              </w:rPr>
              <w:t>GS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6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Gate-to-Source Charge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6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6" w:lineRule="exact"/>
              <w:ind w:left="264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1.9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76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76" w:lineRule="exact"/>
              <w:rPr>
                <w:rFonts w:cstheme="minorHAnsi"/>
              </w:rPr>
            </w:pP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76" w:lineRule="exact"/>
              <w:rPr>
                <w:rFonts w:cstheme="minorHAns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4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Q</w:t>
            </w:r>
            <w:r>
              <w:rPr>
                <w:rFonts w:cstheme="minorHAnsi"/>
                <w:spacing w:val="-4"/>
                <w:sz w:val="13"/>
              </w:rPr>
              <w:t>GD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Gate-to-Drain Charge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264" w:right="-239"/>
              <w:rPr>
                <w:rFonts w:hint="eastAsia" w:eastAsiaTheme="minorEastAsia" w:cstheme="minorHAnsi"/>
                <w:lang w:eastAsia="zh-CN"/>
              </w:rPr>
            </w:pP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2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83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83" w:lineRule="exact"/>
              <w:rPr>
                <w:rFonts w:cstheme="minorHAnsi"/>
              </w:rPr>
            </w:pP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line="283" w:lineRule="exact"/>
              <w:rPr>
                <w:rFonts w:cstheme="minorHAnsi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Q</w:t>
            </w:r>
            <w:r>
              <w:rPr>
                <w:rFonts w:cstheme="minorHAnsi"/>
                <w:spacing w:val="-3"/>
                <w:sz w:val="13"/>
              </w:rPr>
              <w:t>OSS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Output</w:t>
            </w:r>
            <w:r>
              <w:rPr>
                <w:rFonts w:cstheme="minorHAnsi"/>
                <w:spacing w:val="3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charge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61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nC</w:t>
            </w:r>
          </w:p>
        </w:tc>
        <w:tc>
          <w:tcPr>
            <w:tcW w:w="2993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GS</w:t>
            </w:r>
            <w:r>
              <w:rPr>
                <w:rFonts w:cstheme="minorHAnsi"/>
                <w:spacing w:val="-2"/>
                <w:sz w:val="20"/>
              </w:rPr>
              <w:t>=0V,</w:t>
            </w:r>
            <w:r>
              <w:rPr>
                <w:rFonts w:cstheme="minorHAnsi"/>
                <w:spacing w:val="1"/>
                <w:sz w:val="20"/>
              </w:rPr>
              <w:t> </w:t>
            </w: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3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>= 400V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Q</w:t>
            </w:r>
            <w:r>
              <w:rPr>
                <w:rFonts w:cstheme="minorHAnsi"/>
                <w:spacing w:val="-3"/>
                <w:sz w:val="13"/>
              </w:rPr>
              <w:t>RR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Reverse Recovery Charge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nC</w:t>
            </w:r>
          </w:p>
        </w:tc>
        <w:tc>
          <w:tcPr>
            <w:tcW w:w="2993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4"/>
              </w:rPr>
              <w:t>DD</w:t>
            </w:r>
            <w:r>
              <w:rPr>
                <w:rFonts w:cstheme="minorHAnsi"/>
                <w:spacing w:val="-3"/>
                <w:sz w:val="20"/>
              </w:rPr>
              <w:t xml:space="preserve"> = 400 V, V</w:t>
            </w:r>
            <w:r>
              <w:rPr>
                <w:rFonts w:cstheme="minorHAnsi"/>
                <w:spacing w:val="-3"/>
                <w:sz w:val="14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 xml:space="preserve"> = 0-6 V, I</w:t>
            </w:r>
            <w:r>
              <w:rPr>
                <w:rFonts w:cstheme="minorHAnsi"/>
                <w:spacing w:val="-3"/>
                <w:sz w:val="14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 xml:space="preserve"> =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15</w:t>
            </w:r>
            <w:r>
              <w:rPr>
                <w:rFonts w:cstheme="minorHAnsi"/>
                <w:spacing w:val="-3"/>
                <w:sz w:val="20"/>
              </w:rPr>
              <w:t xml:space="preserve"> A,</w:t>
            </w:r>
          </w:p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R</w:t>
            </w:r>
            <w:r>
              <w:rPr>
                <w:rFonts w:cstheme="minorHAnsi"/>
                <w:spacing w:val="-3"/>
                <w:sz w:val="14"/>
              </w:rPr>
              <w:t>G(on)</w:t>
            </w:r>
            <w:r>
              <w:rPr>
                <w:rFonts w:cstheme="minorHAnsi"/>
                <w:spacing w:val="-3"/>
                <w:sz w:val="20"/>
              </w:rPr>
              <w:t xml:space="preserve"> = 15 Ω, R</w:t>
            </w:r>
            <w:r>
              <w:rPr>
                <w:rFonts w:cstheme="minorHAnsi"/>
                <w:spacing w:val="-3"/>
                <w:sz w:val="14"/>
              </w:rPr>
              <w:t>G(off)</w:t>
            </w:r>
            <w:r>
              <w:rPr>
                <w:rFonts w:cstheme="minorHAnsi"/>
                <w:spacing w:val="-3"/>
                <w:sz w:val="20"/>
              </w:rPr>
              <w:t xml:space="preserve"> = 2 Ω,</w:t>
            </w:r>
          </w:p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 xml:space="preserve">L =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90</w:t>
            </w:r>
            <w:r>
              <w:rPr>
                <w:rFonts w:cstheme="minorHAnsi"/>
                <w:spacing w:val="-3"/>
                <w:sz w:val="20"/>
              </w:rPr>
              <w:t xml:space="preserve"> μH, L</w:t>
            </w:r>
            <w:r>
              <w:rPr>
                <w:rFonts w:cstheme="minorHAnsi"/>
                <w:spacing w:val="-3"/>
                <w:sz w:val="12"/>
              </w:rPr>
              <w:t>P</w:t>
            </w:r>
            <w:r>
              <w:rPr>
                <w:rFonts w:cstheme="minorHAnsi"/>
                <w:spacing w:val="-3"/>
                <w:sz w:val="20"/>
              </w:rPr>
              <w:t xml:space="preserve"> =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12</w:t>
            </w:r>
            <w:r>
              <w:rPr>
                <w:rFonts w:cstheme="minorHAnsi"/>
                <w:spacing w:val="-3"/>
                <w:sz w:val="20"/>
              </w:rPr>
              <w:t xml:space="preserve"> nH</w:t>
            </w:r>
          </w:p>
          <w:p>
            <w:pPr>
              <w:keepNext w:val="0"/>
              <w:keepLines w:val="0"/>
              <w:widowControl/>
              <w:suppressLineNumbers w:val="0"/>
              <w:ind w:firstLine="199" w:firstLineChars="100"/>
              <w:jc w:val="left"/>
            </w:pPr>
            <w:r>
              <w:rPr>
                <w:rFonts w:ascii="Segoe UI" w:hAnsi="Segoe UI" w:eastAsia="Segoe UI" w:cs="Segoe UI"/>
                <w:color w:val="000000"/>
                <w:kern w:val="0"/>
                <w:sz w:val="19"/>
                <w:szCs w:val="19"/>
                <w:lang w:val="en-US" w:eastAsia="zh-CN" w:bidi="ar"/>
              </w:rPr>
              <w:t xml:space="preserve">(Notes 6, 7, 8) </w:t>
            </w:r>
          </w:p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t</w:t>
            </w:r>
            <w:r>
              <w:rPr>
                <w:rFonts w:cstheme="minorHAnsi"/>
                <w:spacing w:val="-4"/>
                <w:sz w:val="14"/>
              </w:rPr>
              <w:t>D(on)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Turn-On Delay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8.2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ns</w:t>
            </w: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t</w:t>
            </w:r>
            <w:r>
              <w:rPr>
                <w:rFonts w:cstheme="minorHAnsi"/>
                <w:spacing w:val="-4"/>
                <w:sz w:val="14"/>
              </w:rPr>
              <w:t>R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Rise Time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6.3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ns</w:t>
            </w: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t</w:t>
            </w:r>
            <w:r>
              <w:rPr>
                <w:rFonts w:cstheme="minorHAnsi"/>
                <w:spacing w:val="-4"/>
                <w:sz w:val="14"/>
              </w:rPr>
              <w:t>D(off)</w:t>
            </w:r>
            <w:r>
              <w:rPr>
                <w:rFonts w:cstheme="minorHAnsi"/>
                <w:spacing w:val="-4"/>
                <w:sz w:val="20"/>
              </w:rPr>
              <w:t xml:space="preserve"> </w:t>
            </w:r>
          </w:p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Turn-Off Delay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10.8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ns</w:t>
            </w: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t</w:t>
            </w:r>
            <w:r>
              <w:rPr>
                <w:rFonts w:cstheme="minorHAnsi"/>
                <w:spacing w:val="-4"/>
                <w:sz w:val="14"/>
              </w:rPr>
              <w:t>F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Fall Time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5.7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ns</w:t>
            </w: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E</w:t>
            </w:r>
            <w:r>
              <w:rPr>
                <w:rFonts w:cstheme="minorHAnsi"/>
                <w:spacing w:val="-4"/>
                <w:sz w:val="14"/>
              </w:rPr>
              <w:t>on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Switching Energy during turn-on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cstheme="minorHAnsi"/>
                <w:spacing w:val="-3"/>
                <w:sz w:val="20"/>
              </w:rPr>
              <w:t xml:space="preserve"> </w:t>
            </w: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50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μJ</w:t>
            </w: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E</w:t>
            </w:r>
            <w:r>
              <w:rPr>
                <w:rFonts w:cstheme="minorHAnsi"/>
                <w:spacing w:val="-4"/>
                <w:sz w:val="14"/>
              </w:rPr>
              <w:t>off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Switching Energy during turn-off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default" w:eastAsiaTheme="minorEastAsia" w:cstheme="minorHAnsi"/>
                <w:spacing w:val="-3"/>
                <w:sz w:val="20"/>
                <w:lang w:val="en-US" w:eastAsia="zh-CN"/>
              </w:rPr>
            </w:pP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10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μJ</w:t>
            </w:r>
          </w:p>
        </w:tc>
        <w:tc>
          <w:tcPr>
            <w:tcW w:w="2993" w:type="dxa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V</w:t>
            </w:r>
            <w:r>
              <w:rPr>
                <w:rFonts w:cstheme="minorHAnsi"/>
                <w:spacing w:val="-3"/>
                <w:sz w:val="14"/>
              </w:rPr>
              <w:t>DS</w:t>
            </w:r>
            <w:r>
              <w:rPr>
                <w:rFonts w:cstheme="minorHAnsi"/>
                <w:spacing w:val="-3"/>
                <w:sz w:val="20"/>
              </w:rPr>
              <w:t xml:space="preserve"> = 400 V, V</w:t>
            </w:r>
            <w:r>
              <w:rPr>
                <w:rFonts w:cstheme="minorHAnsi"/>
                <w:spacing w:val="-3"/>
                <w:sz w:val="14"/>
              </w:rPr>
              <w:t>GS</w:t>
            </w:r>
            <w:r>
              <w:rPr>
                <w:rFonts w:cstheme="minorHAnsi"/>
                <w:spacing w:val="-3"/>
                <w:sz w:val="20"/>
              </w:rPr>
              <w:t xml:space="preserve"> = 0 V, f = 100 kHz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exact"/>
        </w:trPr>
        <w:tc>
          <w:tcPr>
            <w:tcW w:w="103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 xml:space="preserve">     E</w:t>
            </w:r>
            <w:r>
              <w:rPr>
                <w:rFonts w:cstheme="minorHAnsi"/>
                <w:spacing w:val="-4"/>
                <w:sz w:val="14"/>
              </w:rPr>
              <w:t>OSS</w:t>
            </w:r>
          </w:p>
        </w:tc>
        <w:tc>
          <w:tcPr>
            <w:tcW w:w="365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112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Output Capacitance Stored Energy</w:t>
            </w:r>
          </w:p>
        </w:tc>
        <w:tc>
          <w:tcPr>
            <w:tcW w:w="810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34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1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230" w:right="-239"/>
              <w:rPr>
                <w:rFonts w:hint="eastAsia" w:eastAsiaTheme="minorEastAsia" w:cstheme="minorHAnsi"/>
                <w:spacing w:val="-3"/>
                <w:sz w:val="20"/>
                <w:lang w:eastAsia="zh-CN"/>
              </w:rPr>
            </w:pPr>
            <w:r>
              <w:rPr>
                <w:rFonts w:hint="eastAsia" w:cstheme="minorHAnsi"/>
                <w:spacing w:val="-3"/>
                <w:sz w:val="20"/>
                <w:lang w:val="en-US" w:eastAsia="zh-CN"/>
              </w:rPr>
              <w:t>8</w:t>
            </w:r>
          </w:p>
        </w:tc>
        <w:tc>
          <w:tcPr>
            <w:tcW w:w="785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23" w:right="-239"/>
              <w:rPr>
                <w:rFonts w:cstheme="minorHAnsi"/>
                <w:spacing w:val="-4"/>
                <w:sz w:val="20"/>
              </w:rPr>
            </w:pPr>
            <w:r>
              <w:rPr>
                <w:rFonts w:cstheme="minorHAnsi"/>
                <w:spacing w:val="-4"/>
                <w:sz w:val="20"/>
              </w:rPr>
              <w:t>—</w:t>
            </w:r>
          </w:p>
        </w:tc>
        <w:tc>
          <w:tcPr>
            <w:tcW w:w="85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7" w:lineRule="exact"/>
              <w:ind w:left="316" w:right="-239"/>
              <w:rPr>
                <w:rFonts w:cstheme="minorHAnsi"/>
                <w:spacing w:val="-3"/>
                <w:sz w:val="20"/>
              </w:rPr>
            </w:pPr>
            <w:r>
              <w:rPr>
                <w:rFonts w:cstheme="minorHAnsi"/>
                <w:spacing w:val="-3"/>
                <w:sz w:val="20"/>
              </w:rPr>
              <w:t>μJ</w:t>
            </w:r>
          </w:p>
        </w:tc>
        <w:tc>
          <w:tcPr>
            <w:tcW w:w="2993" w:type="dxa"/>
            <w:vMerge w:val="continue"/>
            <w:shd w:val="clear" w:color="auto" w:fill="auto"/>
            <w:tcMar>
              <w:left w:w="0" w:type="dxa"/>
              <w:right w:w="0" w:type="dxa"/>
            </w:tcMar>
            <w:vAlign w:val="center"/>
          </w:tcPr>
          <w:p>
            <w:pPr>
              <w:spacing w:after="0" w:line="298" w:lineRule="exact"/>
              <w:ind w:left="111" w:right="-239"/>
              <w:rPr>
                <w:rFonts w:cstheme="minorHAnsi"/>
                <w:spacing w:val="-3"/>
                <w:sz w:val="20"/>
              </w:rPr>
            </w:pPr>
          </w:p>
        </w:tc>
      </w:tr>
    </w:tbl>
    <w:p>
      <w:pPr>
        <w:spacing w:after="0"/>
        <w:rPr>
          <w:sz w:val="18"/>
          <w:szCs w:val="18"/>
        </w:rPr>
      </w:pPr>
      <w:r>
        <w:rPr>
          <w:sz w:val="18"/>
          <w:szCs w:val="18"/>
        </w:rPr>
        <w:t>Notes:</w:t>
      </w:r>
    </w:p>
    <w:p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a. </w:t>
      </w:r>
      <w:r>
        <w:rPr>
          <w:rFonts w:ascii="Segoe UI" w:hAnsi="Segoe UI" w:eastAsia="Segoe UI" w:cs="Segoe UI"/>
          <w:color w:val="000000"/>
          <w:kern w:val="0"/>
          <w:sz w:val="18"/>
          <w:szCs w:val="18"/>
          <w:lang w:val="en-US" w:eastAsia="zh-CN" w:bidi="ar"/>
        </w:rPr>
        <w:t>C</w:t>
      </w:r>
      <w:r>
        <w:rPr>
          <w:rFonts w:hint="default" w:ascii="Segoe UI" w:hAnsi="Segoe UI" w:eastAsia="Segoe UI" w:cs="Segoe UI"/>
          <w:color w:val="000000"/>
          <w:kern w:val="0"/>
          <w:sz w:val="12"/>
          <w:szCs w:val="12"/>
          <w:lang w:val="en-US" w:eastAsia="zh-CN" w:bidi="ar"/>
        </w:rPr>
        <w:t>O(ER)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  <w:lang w:eastAsia="zh-CN"/>
        </w:rPr>
        <w:t>是固定电容，当 VDS 从 0 V 上升到规定值时，它将提供与 COSS 相同的存储能量。</w:t>
      </w:r>
    </w:p>
    <w:p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b. </w:t>
      </w:r>
      <w:r>
        <w:rPr>
          <w:rFonts w:ascii="Segoe UI" w:hAnsi="Segoe UI" w:eastAsia="Segoe UI" w:cs="Segoe UI"/>
          <w:color w:val="000000"/>
          <w:kern w:val="0"/>
          <w:sz w:val="18"/>
          <w:szCs w:val="18"/>
          <w:lang w:val="en-US" w:eastAsia="zh-CN" w:bidi="ar"/>
        </w:rPr>
        <w:t>C</w:t>
      </w:r>
      <w:r>
        <w:rPr>
          <w:rFonts w:hint="default" w:ascii="Segoe UI" w:hAnsi="Segoe UI" w:eastAsia="Segoe UI" w:cs="Segoe UI"/>
          <w:color w:val="000000"/>
          <w:kern w:val="0"/>
          <w:sz w:val="12"/>
          <w:szCs w:val="12"/>
          <w:lang w:val="en-US" w:eastAsia="zh-CN" w:bidi="ar"/>
        </w:rPr>
        <w:t>O(TR)</w:t>
      </w:r>
      <w:r>
        <w:rPr>
          <w:rFonts w:hint="eastAsia" w:ascii="微软雅黑" w:hAnsi="微软雅黑" w:eastAsia="微软雅黑" w:cs="微软雅黑"/>
          <w:color w:val="000000"/>
          <w:spacing w:val="-3"/>
          <w:sz w:val="15"/>
          <w:szCs w:val="15"/>
          <w:lang w:eastAsia="zh-CN"/>
        </w:rPr>
        <w:t> 是固定电容，当 VDS 从 0 V 上升到规定的 VDS 时，它将提供与 COSS 相同的充电时。</w:t>
      </w:r>
    </w:p>
    <w:p/>
    <w:p/>
    <w:p>
      <w:pPr>
        <w:rPr>
          <w:rFonts w:hint="eastAsia" w:ascii="微软雅黑" w:hAnsi="微软雅黑" w:eastAsia="微软雅黑" w:cs="微软雅黑"/>
          <w:b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sz w:val="21"/>
          <w:szCs w:val="21"/>
        </w:rPr>
        <w:t>设计注意事项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bCs w:val="0"/>
          <w:color w:val="000000"/>
          <w:spacing w:val="-3"/>
          <w:w w:val="95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/>
          <w:bCs w:val="0"/>
          <w:color w:val="000000"/>
          <w:spacing w:val="-3"/>
          <w:w w:val="95"/>
          <w:sz w:val="21"/>
          <w:szCs w:val="21"/>
        </w:rPr>
        <w:t>栅极驱动器</w:t>
      </w:r>
      <w:r>
        <w:rPr>
          <w:rFonts w:hint="eastAsia" w:ascii="微软雅黑" w:hAnsi="微软雅黑" w:eastAsia="微软雅黑" w:cs="微软雅黑"/>
          <w:b/>
          <w:bCs w:val="0"/>
          <w:color w:val="000000"/>
          <w:spacing w:val="-3"/>
          <w:w w:val="95"/>
          <w:sz w:val="21"/>
          <w:szCs w:val="21"/>
          <w:lang w:eastAsia="zh-CN"/>
        </w:rPr>
        <w:t>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jc w:val="both"/>
        <w:textAlignment w:val="auto"/>
        <w:rPr>
          <w:rFonts w:hint="eastAsia" w:eastAsia="微软雅黑"/>
          <w:sz w:val="18"/>
          <w:szCs w:val="18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为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获得最佳</w:t>
      </w:r>
      <w:r>
        <w:rPr>
          <w:rFonts w:hint="eastAsia" w:ascii="微软雅黑" w:hAnsi="微软雅黑" w:eastAsia="微软雅黑" w:cs="微软雅黑"/>
          <w:color w:val="000000"/>
          <w:spacing w:val="13"/>
          <w:sz w:val="18"/>
          <w:szCs w:val="18"/>
        </w:rPr>
        <w:t> 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R</w:t>
      </w:r>
      <w:r>
        <w:rPr>
          <w:rFonts w:hint="eastAsia" w:ascii="微软雅黑" w:hAnsi="微软雅黑" w:eastAsia="微软雅黑" w:cs="微软雅黑"/>
          <w:color w:val="000000"/>
          <w:spacing w:val="-3"/>
          <w:sz w:val="18"/>
          <w:szCs w:val="18"/>
        </w:rPr>
        <w:t>DS</w:t>
      </w:r>
      <w:r>
        <w:rPr>
          <w:rFonts w:hint="eastAsia" w:ascii="微软雅黑" w:hAnsi="微软雅黑" w:eastAsia="微软雅黑" w:cs="微软雅黑"/>
          <w:color w:val="000000"/>
          <w:spacing w:val="-3"/>
          <w:sz w:val="18"/>
          <w:szCs w:val="18"/>
          <w:vertAlign w:val="subscript"/>
        </w:rPr>
        <w:t>(on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vertAlign w:val="subscript"/>
        </w:rPr>
        <w:t>)</w:t>
      </w:r>
      <w:r>
        <w:rPr>
          <w:rFonts w:hint="eastAsia" w:ascii="微软雅黑" w:hAnsi="微软雅黑" w:eastAsia="微软雅黑" w:cs="微软雅黑"/>
          <w:color w:val="000000"/>
          <w:spacing w:val="14"/>
          <w:sz w:val="18"/>
          <w:szCs w:val="18"/>
        </w:rPr>
        <w:t> 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性能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，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推荐的栅极驱动电压范围 VGS为0 V至+ 6 V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以获得最佳</w:t>
      </w:r>
      <w:r>
        <w:rPr>
          <w:rFonts w:hint="eastAsia" w:ascii="微软雅黑" w:hAnsi="微软雅黑" w:eastAsia="微软雅黑" w:cs="微软雅黑"/>
          <w:color w:val="000000"/>
          <w:spacing w:val="13"/>
          <w:sz w:val="18"/>
          <w:szCs w:val="18"/>
        </w:rPr>
        <w:t> 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R</w:t>
      </w:r>
      <w:r>
        <w:rPr>
          <w:rFonts w:hint="eastAsia" w:ascii="微软雅黑" w:hAnsi="微软雅黑" w:eastAsia="微软雅黑" w:cs="微软雅黑"/>
          <w:color w:val="000000"/>
          <w:spacing w:val="-3"/>
          <w:sz w:val="18"/>
          <w:szCs w:val="18"/>
        </w:rPr>
        <w:t>DS</w:t>
      </w:r>
      <w:r>
        <w:rPr>
          <w:rFonts w:hint="eastAsia" w:ascii="微软雅黑" w:hAnsi="微软雅黑" w:eastAsia="微软雅黑" w:cs="微软雅黑"/>
          <w:color w:val="000000"/>
          <w:spacing w:val="-3"/>
          <w:sz w:val="18"/>
          <w:szCs w:val="18"/>
          <w:vertAlign w:val="subscript"/>
        </w:rPr>
        <w:t>(on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vertAlign w:val="subscript"/>
        </w:rPr>
        <w:t>)</w:t>
      </w:r>
      <w:r>
        <w:rPr>
          <w:rFonts w:hint="eastAsia" w:ascii="微软雅黑" w:hAnsi="微软雅黑" w:eastAsia="微软雅黑" w:cs="微软雅黑"/>
          <w:color w:val="000000"/>
          <w:spacing w:val="14"/>
          <w:sz w:val="18"/>
          <w:szCs w:val="18"/>
        </w:rPr>
        <w:t> 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性能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此外，最大额定值</w:t>
      </w:r>
      <w:r>
        <w:rPr>
          <w:rFonts w:hint="eastAsia" w:ascii="微软雅黑" w:hAnsi="微软雅黑" w:eastAsia="微软雅黑" w:cs="微软雅黑"/>
          <w:color w:val="000000"/>
          <w:spacing w:val="-9"/>
          <w:sz w:val="18"/>
          <w:szCs w:val="18"/>
        </w:rPr>
        <w:t>V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GS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vertAlign w:val="subscript"/>
        </w:rPr>
        <w:t>(AC)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的重复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栅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极电压为+7 V 至-10 V。 对于高达1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00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µs的脉冲，栅极可以承受高达 +10 V 和–20 V的非重复瞬态。这些规格允许设计人员轻松使用 6.0 V 或 6.5 V 栅极驱动设置。在6 V栅极驱动电压下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，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增强模式高电子迁移率晶体管(E-HEMT)完全增强并达到其最佳效率点。可以使用5 V栅极驱动器，但可能会导致运行效率降低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GSR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半导体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E-HEMT 本质上不需要负栅极偏置来关闭。负栅极偏压，通常V</w:t>
      </w:r>
      <w:r>
        <w:rPr>
          <w:rFonts w:hint="eastAsia" w:ascii="微软雅黑" w:hAnsi="微软雅黑" w:eastAsia="微软雅黑" w:cs="微软雅黑"/>
          <w:color w:val="000000"/>
          <w:spacing w:val="-2"/>
          <w:sz w:val="18"/>
          <w:szCs w:val="18"/>
          <w:vertAlign w:val="subscript"/>
        </w:rPr>
        <w:t>GS</w:t>
      </w:r>
      <w:r>
        <w:rPr>
          <w:rFonts w:hint="eastAsia" w:ascii="微软雅黑" w:hAnsi="微软雅黑" w:eastAsia="微软雅黑" w:cs="微软雅黑"/>
          <w:color w:val="000000"/>
          <w:spacing w:val="23"/>
          <w:sz w:val="18"/>
          <w:szCs w:val="18"/>
        </w:rPr>
        <w:t xml:space="preserve">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= -3 V，可确保安全运行以抵御栅极上的电压尖峰，但如果驱动不当，可能会增加反向传导损耗。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jc w:val="both"/>
        <w:textAlignment w:val="auto"/>
        <w:rPr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与硅 MOSFET 类似，可以使用外部栅极电阻器来控制开关速度和压摆率。 可能需要调整电阻器以达到所需的转换速率。 建议降低关断栅极电阻 RG(OFF)以获得更好的抗交叉传导能力。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textAlignment w:val="auto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可以使用标准 MOSFET 驱动器，前提是它支持 6 V 用于栅极驱动，并且 UVLO 适用于 6 V 操作。 推荐使用低阻抗和高峰值电流的栅极驱动器以实现快速开关速度。 与同等尺寸的R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vertAlign w:val="subscript"/>
        </w:rPr>
        <w:t>DS(on)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MOSFET 相比，GSR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半导体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的 E-HEMT 的 </w:t>
      </w:r>
      <w:r>
        <w:rPr>
          <w:rFonts w:hint="eastAsia" w:ascii="微软雅黑" w:hAnsi="微软雅黑" w:eastAsia="微软雅黑" w:cs="微软雅黑"/>
          <w:color w:val="000000"/>
          <w:spacing w:val="-7"/>
          <w:sz w:val="18"/>
          <w:szCs w:val="18"/>
        </w:rPr>
        <w:t>Q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vertAlign w:val="subscript"/>
        </w:rPr>
        <w:t>G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明显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降低，因此可以通过更小、成本更低的栅极驱动器实现高速。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344" w:firstLineChars="200"/>
        <w:textAlignment w:val="auto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一些非隔离式半桥 MOSFET 驱动器由于其高欠压锁定阈值而与 6 V 栅极驱动不兼容。 此外，用于高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侧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栅极驱动的简单自举方法可能无法对栅极电压提供严格的容差。 因此，在选择和使用半桥驱动器时应特别小心。 请参阅栅极驱动器应用说明了解更多详情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。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 xml:space="preserve">并联运行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jc w:val="both"/>
        <w:textAlignment w:val="auto"/>
        <w:rPr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在 PCB 上设计宽轨道或多边形以将栅极驱动信号分配给多个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器件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。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要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保持每个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器件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的驱动回路长度尽可能短且长度相等。</w:t>
      </w:r>
      <w:r>
        <w:rPr>
          <w:sz w:val="20"/>
          <w:szCs w:val="20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textAlignment w:val="auto"/>
        <w:rPr>
          <w:rFonts w:ascii="Franklin Gothic Book" w:hAnsi="Franklin Gothic Book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GaN 增强模式 HEMT 具有正温度系数导通电阻，有助于平衡电流。 但是，由于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器件开关速度特别快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，因此应特别注意驱动电路和 PCB 布局。 建议在所有并联器件上采用对称 PCB 布局和相等的栅极驱动回路长度（如果可能，星形连接）以确保平衡的动态电流共享。建议在每个栅极上添加一个小栅极电阻器 (1-2 Ω)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以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最小化栅极寄生振荡。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>热模型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2" w:firstLine="344" w:firstLineChars="200"/>
        <w:textAlignment w:val="auto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RC 热模型可用于支持使用 SPICE 进行详细的热仿真。 热模型是使用 Cauer 模型创建的，这是一种 RC 网络模型，它反映了我们设备的真实物理特性和封装结构。 这种方法允许我们的客户通过添加额外的 Rθ 和 Cθ 来模拟热界面材料 (TIM) 或散热器，从而将热模型扩展到他们的系统。</w:t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 xml:space="preserve">RC 热模型: </w:t>
      </w:r>
    </w:p>
    <w:p>
      <w:r>
        <w:drawing>
          <wp:inline distT="0" distB="0" distL="0" distR="0">
            <wp:extent cx="2337435" cy="412750"/>
            <wp:effectExtent l="0" t="0" r="5715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87006" cy="42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b/>
          <w:bCs/>
          <w:position w:val="2"/>
          <w:sz w:val="15"/>
          <w:szCs w:val="15"/>
        </w:rPr>
      </w:pPr>
    </w:p>
    <w:p>
      <w:pPr>
        <w:rPr>
          <w:sz w:val="20"/>
          <w:szCs w:val="20"/>
        </w:rPr>
      </w:pPr>
      <w:r>
        <w:rPr>
          <w:rFonts w:hint="eastAsia" w:ascii="微软雅黑" w:hAnsi="微软雅黑" w:eastAsia="微软雅黑" w:cs="微软雅黑"/>
          <w:b/>
          <w:bCs/>
          <w:sz w:val="15"/>
          <w:szCs w:val="15"/>
          <w:lang w:val="en-US" w:eastAsia="zh-CN"/>
        </w:rPr>
        <w:t>R</w:t>
      </w:r>
      <w:r>
        <w:rPr>
          <w:rFonts w:hint="eastAsia" w:ascii="微软雅黑" w:hAnsi="微软雅黑" w:eastAsia="微软雅黑" w:cs="微软雅黑"/>
          <w:b/>
          <w:bCs/>
          <w:sz w:val="15"/>
          <w:szCs w:val="15"/>
          <w:vertAlign w:val="subscript"/>
        </w:rPr>
        <w:t>ΘJC</w:t>
      </w:r>
      <w:r>
        <w:rPr>
          <w:rFonts w:hint="eastAsia" w:ascii="微软雅黑" w:hAnsi="微软雅黑" w:eastAsia="微软雅黑" w:cs="微软雅黑"/>
          <w:b/>
          <w:bCs/>
          <w:sz w:val="15"/>
          <w:szCs w:val="15"/>
          <w:lang w:val="en-US" w:eastAsia="zh-CN"/>
        </w:rPr>
        <w:t>的RC击穿</w:t>
      </w:r>
      <w:r>
        <w:rPr>
          <w:sz w:val="20"/>
          <w:szCs w:val="20"/>
        </w:rPr>
        <w:t xml:space="preserve"> </w:t>
      </w:r>
    </w:p>
    <w:tbl>
      <w:tblPr>
        <w:tblStyle w:val="4"/>
        <w:tblW w:w="4594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232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R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(°C/W)</w:t>
            </w:r>
          </w:p>
        </w:tc>
        <w:tc>
          <w:tcPr>
            <w:tcW w:w="23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(W∙s/°C)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22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R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θ1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0.08</w:t>
            </w:r>
          </w:p>
        </w:tc>
        <w:tc>
          <w:tcPr>
            <w:tcW w:w="2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θ1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9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.0E-05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22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R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θ2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0.9</w:t>
            </w:r>
          </w:p>
        </w:tc>
        <w:tc>
          <w:tcPr>
            <w:tcW w:w="2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θ2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6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.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5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E-04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22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R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θ3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0.38</w:t>
            </w:r>
          </w:p>
        </w:tc>
        <w:tc>
          <w:tcPr>
            <w:tcW w:w="2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θ3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7.0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E-03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22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R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θ4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0.04</w:t>
            </w:r>
          </w:p>
        </w:tc>
        <w:tc>
          <w:tcPr>
            <w:tcW w:w="23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</w:t>
            </w:r>
            <w:r>
              <w:rPr>
                <w:rFonts w:ascii="Calibri" w:hAnsi="Calibri" w:eastAsia="Times New Roman" w:cs="Calibri"/>
                <w:color w:val="000000"/>
                <w:sz w:val="12"/>
                <w:szCs w:val="18"/>
              </w:rPr>
              <w:t>θ4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 xml:space="preserve"> = 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5.0</w:t>
            </w: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E-03</w:t>
            </w:r>
          </w:p>
        </w:tc>
      </w:tr>
    </w:tbl>
    <w:p/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0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>反向传导</w:t>
      </w: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0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2" w:firstLine="344" w:firstLineChars="200"/>
        <w:textAlignment w:val="auto"/>
        <w:rPr>
          <w:rFonts w:ascii="Franklin Gothic Book" w:hAnsi="Franklin Gothic Book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这些 E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-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HEMT 没有本征体二极管，并且反向恢复电荷为零。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这些器件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自然具有反向传导能力，并根据栅极电压表现出不同的特性。 GaN 系统晶体管不需要反并联二极管，IGBT 实现反向导通性能的情况就是如此。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jc w:val="both"/>
        <w:textAlignment w:val="auto"/>
        <w:rPr>
          <w:rFonts w:hint="eastAsia"/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导通条件 (VGS = +6 V)：此 E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-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HEMT 在导通状态下的反向传导特性与硅 MOSFET 相似，IV 曲线关于原点对称，呈现沟道电阻 , RDS(on)，类似于正向导通操作。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jc w:val="both"/>
        <w:textAlignment w:val="auto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关断状态 (</w:t>
      </w:r>
      <w:r>
        <w:rPr>
          <w:rFonts w:ascii="Franklin Gothic Book" w:hAnsi="Franklin Gothic Book" w:cs="Segoe UI"/>
          <w:color w:val="000000"/>
          <w:spacing w:val="-4"/>
          <w:sz w:val="20"/>
        </w:rPr>
        <w:t>V</w:t>
      </w:r>
      <w:r>
        <w:rPr>
          <w:rFonts w:ascii="Franklin Gothic Book" w:hAnsi="Franklin Gothic Book" w:cs="Segoe UI"/>
          <w:color w:val="000000"/>
          <w:spacing w:val="-2"/>
          <w:sz w:val="13"/>
        </w:rPr>
        <w:t>GS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 ≤ 0 V)：由于 GaN 器件没有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寄生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二极管，因此在关断状态下的反向特性不同于硅 MOSFET。 在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关断状态下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，当栅极电压（相对于漏极 </w:t>
      </w:r>
      <w:r>
        <w:rPr>
          <w:rFonts w:ascii="Franklin Gothic Book" w:hAnsi="Franklin Gothic Book" w:cs="Segoe UI"/>
          <w:color w:val="000000"/>
          <w:spacing w:val="-4"/>
          <w:sz w:val="20"/>
        </w:rPr>
        <w:t>V</w:t>
      </w:r>
      <w:r>
        <w:rPr>
          <w:rFonts w:ascii="Franklin Gothic Book" w:hAnsi="Franklin Gothic Book" w:cs="Segoe UI"/>
          <w:color w:val="000000"/>
          <w:spacing w:val="-3"/>
          <w:sz w:val="13"/>
        </w:rPr>
        <w:t>GD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）超过栅极阈值电压时，器件开始导通。 此时，设备表现出通道阻力。 这种情况可以建模为“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寄生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二极管”，其 VF 略高且无反向恢复电荷。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2" w:firstLine="344" w:firstLineChars="200"/>
        <w:textAlignment w:val="auto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如果在关断状态下使用负栅极电压，则源极-漏极电压必须高于VGS(th)+VGS(off) 才能开启器件。 因此，负栅极电压将增加反向电压降“V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vertAlign w:val="subscript"/>
        </w:rPr>
        <w:t>F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”，从而增加反向传导损耗。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>阻断电压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2" w:firstLine="344" w:firstLineChars="200"/>
        <w:textAlignment w:val="auto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额定阻断电压 </w:t>
      </w:r>
      <w:r>
        <w:rPr>
          <w:rFonts w:hint="eastAsia" w:ascii="Franklin Gothic Book" w:hAnsi="Franklin Gothic Book" w:cs="Segoe UI"/>
          <w:color w:val="000000"/>
          <w:spacing w:val="-3"/>
          <w:sz w:val="13"/>
          <w:lang w:val="en-US" w:eastAsia="zh-CN"/>
        </w:rPr>
        <w:t xml:space="preserve"> </w:t>
      </w:r>
      <w:r>
        <w:rPr>
          <w:rFonts w:ascii="Franklin Gothic Book" w:hAnsi="Franklin Gothic Book" w:cs="Segoe UI"/>
          <w:color w:val="000000"/>
          <w:spacing w:val="-4"/>
          <w:sz w:val="20"/>
        </w:rPr>
        <w:t>V</w:t>
      </w:r>
      <w:r>
        <w:rPr>
          <w:rFonts w:ascii="Franklin Gothic Book" w:hAnsi="Franklin Gothic Book" w:cs="Segoe UI"/>
          <w:color w:val="000000"/>
          <w:spacing w:val="-3"/>
          <w:sz w:val="13"/>
        </w:rPr>
        <w:t>(BL)DSS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由漏极泄漏电流定义。 硬击穿电压比额定 </w:t>
      </w:r>
      <w:r>
        <w:rPr>
          <w:rFonts w:hint="eastAsia" w:ascii="Franklin Gothic Book" w:hAnsi="Franklin Gothic Book" w:cs="Segoe UI"/>
          <w:color w:val="000000"/>
          <w:spacing w:val="-3"/>
          <w:sz w:val="13"/>
          <w:lang w:val="en-US" w:eastAsia="zh-CN"/>
        </w:rPr>
        <w:t xml:space="preserve"> </w:t>
      </w:r>
      <w:r>
        <w:rPr>
          <w:rFonts w:ascii="Franklin Gothic Book" w:hAnsi="Franklin Gothic Book" w:cs="Segoe UI"/>
          <w:color w:val="000000"/>
          <w:spacing w:val="-4"/>
          <w:sz w:val="20"/>
        </w:rPr>
        <w:t>V</w:t>
      </w:r>
      <w:r>
        <w:rPr>
          <w:rFonts w:ascii="Franklin Gothic Book" w:hAnsi="Franklin Gothic Book" w:cs="Segoe UI"/>
          <w:color w:val="000000"/>
          <w:spacing w:val="-3"/>
          <w:sz w:val="13"/>
        </w:rPr>
        <w:t>(BL)DSS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 xml:space="preserve"> 高约 30%。 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一般情况下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，最大漏极电压应以与 IGBT 或硅 MOSFET 类似的方式降低额定值。 所有 GaN E-HEMT 都不会发生雪崩，因此没有雪崩击穿等级。 最大漏源额定值为 650 V，并且不随负栅极电压而变化。 GaN Systems 使用 850 V 漏源电压脉冲测试生产中的器件，以确保阻断电压裕度。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 xml:space="preserve">封装和焊接 </w:t>
      </w:r>
    </w:p>
    <w:p>
      <w:pPr>
        <w:rPr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该封装为标准 PDFN，可承受至少 3 个回流焊周期。</w:t>
      </w:r>
    </w:p>
    <w:p>
      <w:pP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无铅 (Sn-Ag-Cu) 组件的基本温度分布是：</w:t>
      </w:r>
    </w:p>
    <w:p>
      <w:pPr>
        <w:numPr>
          <w:ilvl w:val="0"/>
          <w:numId w:val="2"/>
        </w:numPr>
        <w:spacing w:after="0" w:line="398" w:lineRule="exact"/>
        <w:ind w:left="420" w:leftChars="0" w:hanging="420" w:firstLineChars="0"/>
        <w:rPr>
          <w:rFonts w:hint="eastAsia" w:eastAsiaTheme="minorEastAsia"/>
          <w:sz w:val="20"/>
          <w:szCs w:val="20"/>
          <w:lang w:eastAsia="zh-CN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预热/浸泡：60-120 秒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eastAsia="zh-CN"/>
        </w:rPr>
        <w:t>。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Tmin = 150 °C, Tmax = 200 °C</w:t>
      </w:r>
    </w:p>
    <w:p>
      <w:pPr>
        <w:numPr>
          <w:ilvl w:val="0"/>
          <w:numId w:val="2"/>
        </w:numPr>
        <w:ind w:left="420" w:leftChars="0" w:hanging="420" w:firstLineChars="0"/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回流：上升速率 3°C/秒，最大值。 峰值温度为 260°C，峰值温度在 5°C 以内的时间为 30 秒</w:t>
      </w:r>
    </w:p>
    <w:p>
      <w:pPr>
        <w:numPr>
          <w:ilvl w:val="0"/>
          <w:numId w:val="2"/>
        </w:numPr>
        <w:ind w:left="420" w:leftChars="0" w:hanging="420" w:firstLineChars="0"/>
        <w:rPr>
          <w:rFonts w:hint="eastAsia" w:eastAsia="微软雅黑"/>
          <w:sz w:val="20"/>
          <w:szCs w:val="20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冷却：最大下降速率 6°C/</w:t>
      </w: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  <w:lang w:val="en-US" w:eastAsia="zh-CN"/>
        </w:rPr>
        <w:t>秒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44" w:firstLineChars="200"/>
        <w:textAlignment w:val="auto"/>
        <w:rPr>
          <w:sz w:val="20"/>
          <w:szCs w:val="20"/>
        </w:rPr>
      </w:pPr>
      <w:r>
        <w:rPr>
          <w:rFonts w:hint="eastAsia" w:ascii="微软雅黑" w:hAnsi="微软雅黑" w:eastAsia="微软雅黑" w:cs="微软雅黑"/>
          <w:color w:val="000000"/>
          <w:spacing w:val="-4"/>
          <w:sz w:val="18"/>
          <w:szCs w:val="18"/>
        </w:rPr>
        <w:t>使用“免清洗”焊膏并在高温下操作可能会导致“免清洗”助焊剂残留物重新活化。 在极端条件下，可能会产生不需要的传导路径。 因此，当产品在高于 100°C 的温度下运行时，建议同时清洁“免清洗”糊状物残留物。</w:t>
      </w: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</w:p>
    <w:p>
      <w:pPr>
        <w:spacing w:after="0" w:line="349" w:lineRule="exact"/>
        <w:ind w:left="60"/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</w:pPr>
      <w:r>
        <w:rPr>
          <w:rFonts w:hint="eastAsia" w:ascii="微软雅黑" w:hAnsi="微软雅黑" w:eastAsia="微软雅黑" w:cs="微软雅黑"/>
          <w:b/>
          <w:color w:val="000000"/>
          <w:spacing w:val="-3"/>
          <w:w w:val="95"/>
          <w:sz w:val="21"/>
          <w:szCs w:val="21"/>
        </w:rPr>
        <w:t>推荐 PCB 尺寸</w:t>
      </w:r>
    </w:p>
    <w:p>
      <w:r>
        <w:drawing>
          <wp:inline distT="0" distB="0" distL="0" distR="0">
            <wp:extent cx="2413000" cy="1859915"/>
            <wp:effectExtent l="0" t="0" r="6350" b="6985"/>
            <wp:docPr id="19" name="图片 19" descr="C:\Users\DELL\Desktop\4.PN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:\Users\DELL\Desktop\4.PNG4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17865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244600" cy="527050"/>
            <wp:effectExtent l="0" t="0" r="0" b="635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67389" cy="53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微软雅黑" w:hAnsi="微软雅黑" w:eastAsia="微软雅黑" w:cs="微软雅黑"/>
          <w:b/>
          <w:bCs/>
          <w:sz w:val="18"/>
          <w:szCs w:val="18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焊盘尺寸</w:t>
      </w:r>
    </w:p>
    <w:tbl>
      <w:tblPr>
        <w:tblStyle w:val="4"/>
        <w:tblW w:w="6992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0"/>
        <w:gridCol w:w="1370"/>
        <w:gridCol w:w="1606"/>
        <w:gridCol w:w="1513"/>
        <w:gridCol w:w="14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0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SYMBOL</w:t>
            </w: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MILLIMETERS</w:t>
            </w:r>
          </w:p>
        </w:tc>
        <w:tc>
          <w:tcPr>
            <w:tcW w:w="297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INCHES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0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X(Width)</w:t>
            </w:r>
          </w:p>
        </w:tc>
        <w:tc>
          <w:tcPr>
            <w:tcW w:w="16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Y(Height)</w:t>
            </w:r>
          </w:p>
        </w:tc>
        <w:tc>
          <w:tcPr>
            <w:tcW w:w="15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X(Width)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Y(Height)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A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1.00</w:t>
            </w:r>
          </w:p>
        </w:tc>
        <w:tc>
          <w:tcPr>
            <w:tcW w:w="16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0.50</w:t>
            </w:r>
          </w:p>
        </w:tc>
        <w:tc>
          <w:tcPr>
            <w:tcW w:w="15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ind w:left="0" w:leftChars="0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0.039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ind w:left="0" w:leftChars="0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0.020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B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6.94</w:t>
            </w:r>
          </w:p>
        </w:tc>
        <w:tc>
          <w:tcPr>
            <w:tcW w:w="16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3.20</w:t>
            </w:r>
          </w:p>
        </w:tc>
        <w:tc>
          <w:tcPr>
            <w:tcW w:w="15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ind w:left="0" w:leftChars="0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0.273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ind w:left="0" w:leftChars="0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0.126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04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C</w:t>
            </w:r>
          </w:p>
        </w:tc>
        <w:tc>
          <w:tcPr>
            <w:tcW w:w="13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1.00</w:t>
            </w:r>
          </w:p>
        </w:tc>
        <w:tc>
          <w:tcPr>
            <w:tcW w:w="16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0.50</w:t>
            </w:r>
          </w:p>
        </w:tc>
        <w:tc>
          <w:tcPr>
            <w:tcW w:w="15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ind w:left="0" w:leftChars="0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0.039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ind w:left="0" w:leftChars="0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0.020</w:t>
            </w:r>
          </w:p>
        </w:tc>
      </w:tr>
    </w:tbl>
    <w:p/>
    <w:p>
      <w:pP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尺寸</w:t>
      </w:r>
    </w:p>
    <w:tbl>
      <w:tblPr>
        <w:tblStyle w:val="4"/>
        <w:tblW w:w="3560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300"/>
        <w:gridCol w:w="130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SYMBOL</w:t>
            </w: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MILLIMETERS</w:t>
            </w:r>
          </w:p>
        </w:tc>
        <w:tc>
          <w:tcPr>
            <w:tcW w:w="13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INCHES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d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3.75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0.1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e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0.90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0.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035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f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2.85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0.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112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9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g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2.00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</w:rPr>
              <w:t>0.07</w:t>
            </w:r>
            <w:r>
              <w:rPr>
                <w:rFonts w:hint="eastAsia" w:ascii="Calibri" w:hAnsi="Calibri" w:eastAsia="宋体" w:cs="Calibri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</w:tr>
    </w:tbl>
    <w:p>
      <w:r>
        <w:br w:type="page"/>
      </w:r>
    </w:p>
    <w:p/>
    <w:p>
      <w:pPr>
        <w:rPr>
          <w:rFonts w:hint="default" w:ascii="微软雅黑" w:hAnsi="微软雅黑" w:eastAsia="微软雅黑" w:cs="微软雅黑"/>
          <w:b/>
          <w:bCs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18"/>
          <w:szCs w:val="18"/>
          <w:lang w:val="en-US" w:eastAsia="zh-CN"/>
        </w:rPr>
        <w:t>外观信息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0"/>
        <w:gridCol w:w="66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95" w:type="dxa"/>
          </w:tcPr>
          <w:p>
            <w:pPr>
              <w:spacing w:after="0" w:line="240" w:lineRule="auto"/>
            </w:pPr>
          </w:p>
          <w:p>
            <w:pPr>
              <w:spacing w:after="0" w:line="240" w:lineRule="auto"/>
              <w:jc w:val="center"/>
            </w:pPr>
            <w:r>
              <w:drawing>
                <wp:inline distT="0" distB="0" distL="0" distR="0">
                  <wp:extent cx="1244600" cy="1424940"/>
                  <wp:effectExtent l="0" t="0" r="0" b="381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711" cy="1448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</w:pPr>
            <w:r>
              <w:rPr>
                <w:rFonts w:hint="eastAsia"/>
              </w:rPr>
              <w:t>Top</w:t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rPr>
                <w:rFonts w:hint="eastAsia"/>
              </w:rPr>
              <w:t>Bottom</w:t>
            </w:r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521970</wp:posOffset>
                  </wp:positionH>
                  <wp:positionV relativeFrom="paragraph">
                    <wp:posOffset>0</wp:posOffset>
                  </wp:positionV>
                  <wp:extent cx="1714500" cy="2017395"/>
                  <wp:effectExtent l="0" t="0" r="0" b="1905"/>
                  <wp:wrapTopAndBottom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201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after="0" w:line="240" w:lineRule="auto"/>
              <w:jc w:val="center"/>
            </w:pPr>
          </w:p>
          <w:p>
            <w:pPr>
              <w:spacing w:after="0" w:line="240" w:lineRule="auto"/>
              <w:jc w:val="center"/>
            </w:pPr>
            <w:r>
              <w:drawing>
                <wp:inline distT="0" distB="0" distL="0" distR="0">
                  <wp:extent cx="1397000" cy="374650"/>
                  <wp:effectExtent l="0" t="0" r="0" b="635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382" cy="383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drawing>
                <wp:inline distT="0" distB="0" distL="0" distR="0">
                  <wp:extent cx="1079500" cy="947420"/>
                  <wp:effectExtent l="0" t="0" r="6350" b="508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160" cy="958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line="240" w:lineRule="auto"/>
              <w:jc w:val="center"/>
            </w:pPr>
            <w:r>
              <w:rPr>
                <w:rFonts w:hint="eastAsia"/>
              </w:rPr>
              <w:t>Side</w:t>
            </w:r>
          </w:p>
        </w:tc>
        <w:tc>
          <w:tcPr>
            <w:tcW w:w="5395" w:type="dxa"/>
          </w:tcPr>
          <w:tbl>
            <w:tblPr>
              <w:tblStyle w:val="4"/>
              <w:tblW w:w="6260" w:type="dxa"/>
              <w:jc w:val="center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00"/>
              <w:gridCol w:w="1210"/>
              <w:gridCol w:w="1080"/>
              <w:gridCol w:w="2700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SYMBOL</w:t>
                  </w:r>
                </w:p>
              </w:tc>
              <w:tc>
                <w:tcPr>
                  <w:tcW w:w="108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MILLIMETERS</w:t>
                  </w:r>
                </w:p>
              </w:tc>
              <w:tc>
                <w:tcPr>
                  <w:tcW w:w="108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INCHES</w:t>
                  </w:r>
                </w:p>
              </w:tc>
              <w:tc>
                <w:tcPr>
                  <w:tcW w:w="2700" w:type="dxa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Approximate Value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8</w:t>
                  </w: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.000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315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+/- 0.100 mm (0.004'')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0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A1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50</w:t>
                  </w: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200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+/- 0.050 mm (0.002'')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A2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1.0</w:t>
                  </w: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39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10</w:t>
                  </w: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 mm (0.002'')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A3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1.0</w:t>
                  </w: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0.03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9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+/- 0.050 mm (0.002'')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0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A4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6.940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273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+/- 0.100 mm (0.004'')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8.000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315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+/- 0.100 mm (0.004'')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0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B1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0.500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0.02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0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+/- 0.100 mm (0.004'')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B2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2.800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110</w:t>
                  </w:r>
                  <w:bookmarkStart w:id="0" w:name="_GoBack"/>
                  <w:bookmarkEnd w:id="0"/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B3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3.200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126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+/- 0.100 mm (0.004'')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0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B4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1.000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39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C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default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</w:pP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0.900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0.03</w:t>
                  </w:r>
                  <w:r>
                    <w:rPr>
                      <w:rFonts w:hint="eastAsia" w:ascii="Calibri" w:hAnsi="Calibri" w:eastAsia="宋体" w:cs="Calibri"/>
                      <w:color w:val="000000"/>
                      <w:sz w:val="18"/>
                      <w:szCs w:val="18"/>
                      <w:lang w:val="en-US" w:eastAsia="zh-CN"/>
                    </w:rPr>
                    <w:t>5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+/- 0.050 mm (0.002'')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0" w:hRule="atLeast"/>
                <w:jc w:val="center"/>
              </w:trPr>
              <w:tc>
                <w:tcPr>
                  <w:tcW w:w="1400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C1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0.030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0.001</w:t>
                  </w:r>
                </w:p>
              </w:tc>
              <w:tc>
                <w:tcPr>
                  <w:tcW w:w="2700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spacing w:after="0" w:line="240" w:lineRule="auto"/>
                    <w:jc w:val="center"/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Calibri" w:hAnsi="Calibri" w:eastAsia="Times New Roman" w:cs="Calibri"/>
                      <w:color w:val="000000"/>
                      <w:sz w:val="18"/>
                      <w:szCs w:val="18"/>
                    </w:rPr>
                    <w:t>+ 0.020/ -0.030 mm (0.001'')</w:t>
                  </w:r>
                </w:p>
              </w:tc>
            </w:tr>
          </w:tbl>
          <w:p>
            <w:pPr>
              <w:spacing w:after="0" w:line="240" w:lineRule="auto"/>
            </w:pPr>
          </w:p>
          <w:p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NOTES:</w:t>
            </w:r>
          </w:p>
          <w:p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rFonts w:hint="eastAsia" w:ascii="微软雅黑" w:hAnsi="微软雅黑" w:eastAsia="微软雅黑" w:cs="微软雅黑"/>
                <w:color w:val="000000"/>
                <w:spacing w:val="-3"/>
                <w:sz w:val="15"/>
                <w:szCs w:val="15"/>
                <w:lang w:eastAsia="zh-CN"/>
              </w:rPr>
              <w:t>表面光洁度：SN，SN：10-20um</w:t>
            </w:r>
          </w:p>
          <w:p>
            <w:pPr>
              <w:spacing w:after="0" w:line="240" w:lineRule="auto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rFonts w:hint="eastAsia" w:ascii="微软雅黑" w:hAnsi="微软雅黑" w:eastAsia="微软雅黑" w:cs="微软雅黑"/>
                <w:color w:val="000000"/>
                <w:spacing w:val="-3"/>
                <w:sz w:val="15"/>
                <w:szCs w:val="15"/>
                <w:lang w:eastAsia="zh-CN"/>
              </w:rPr>
              <w:t>英寸测量值是近似值</w:t>
            </w:r>
          </w:p>
          <w:p>
            <w:pPr>
              <w:spacing w:after="0" w:line="240" w:lineRule="auto"/>
            </w:pPr>
          </w:p>
        </w:tc>
      </w:tr>
    </w:tbl>
    <w:p/>
    <w:sectPr>
      <w:headerReference r:id="rId5" w:type="default"/>
      <w:footerReference r:id="rId6" w:type="default"/>
      <w:pgSz w:w="12240" w:h="15840"/>
      <w:pgMar w:top="720" w:right="720" w:bottom="720" w:left="72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ranklin Gothic Book">
    <w:panose1 w:val="020B0503020102020204"/>
    <w:charset w:val="00"/>
    <w:family w:val="swiss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73042523"/>
      <w:docPartObj>
        <w:docPartGallery w:val="autotext"/>
      </w:docPartObj>
    </w:sdtPr>
    <w:sdtContent>
      <w:p>
        <w:pPr>
          <w:pStyle w:val="2"/>
          <w:pBdr>
            <w:top w:val="single" w:color="auto" w:sz="4" w:space="1"/>
          </w:pBdr>
          <w:rPr>
            <w:sz w:val="18"/>
            <w:szCs w:val="18"/>
          </w:rPr>
        </w:pPr>
        <w:r>
          <w:rPr>
            <w:sz w:val="18"/>
            <w:szCs w:val="18"/>
          </w:rPr>
          <w:t xml:space="preserve">Updated on 27 </w:t>
        </w:r>
        <w:r>
          <w:rPr>
            <w:rFonts w:hint="eastAsia"/>
            <w:sz w:val="18"/>
            <w:szCs w:val="18"/>
          </w:rPr>
          <w:t>March</w:t>
        </w:r>
        <w:r>
          <w:rPr>
            <w:sz w:val="18"/>
            <w:szCs w:val="18"/>
          </w:rPr>
          <w:t xml:space="preserve"> 2022. The content is subject to change without notice.</w:t>
        </w:r>
      </w:p>
      <w:sdt>
        <w:sdtPr>
          <w:id w:val="-1705238520"/>
          <w:docPartObj>
            <w:docPartGallery w:val="autotext"/>
          </w:docPartObj>
        </w:sdtPr>
        <w:sdtContent>
          <w:p>
            <w:pPr>
              <w:pStyle w:val="2"/>
              <w:jc w:val="right"/>
            </w:pPr>
            <w:r>
              <w:rPr>
                <w:sz w:val="18"/>
                <w:szCs w:val="1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left</wp:align>
                  </wp:positionH>
                  <wp:positionV relativeFrom="paragraph">
                    <wp:posOffset>41910</wp:posOffset>
                  </wp:positionV>
                  <wp:extent cx="288290" cy="285115"/>
                  <wp:effectExtent l="0" t="0" r="0" b="1270"/>
                  <wp:wrapNone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01" cy="285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2"/>
              <w:tabs>
                <w:tab w:val="right" w:pos="10800"/>
              </w:tabs>
            </w:pPr>
            <w:r>
              <w:rPr>
                <w:lang w:val="zh-CN"/>
              </w:rPr>
              <w:tab/>
            </w:r>
            <w:r>
              <w:rPr>
                <w:lang w:val="zh-CN"/>
              </w:rPr>
              <w:tab/>
            </w:r>
            <w:r>
              <w:rPr>
                <w:lang w:val="zh-CN"/>
              </w:rPr>
              <w:tab/>
            </w: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24" w:space="1"/>
      </w:pBdr>
      <w:tabs>
        <w:tab w:val="clear" w:pos="8640"/>
      </w:tabs>
      <w:jc w:val="right"/>
      <w:rPr>
        <w:rFonts w:hint="default" w:eastAsiaTheme="minorEastAsia"/>
        <w:b/>
        <w:sz w:val="48"/>
        <w:lang w:val="en-US" w:eastAsia="zh-CN"/>
      </w:rPr>
    </w:pPr>
    <w:r>
      <w:rPr>
        <w:rFonts w:hint="eastAsia"/>
        <w:b/>
        <w:sz w:val="48"/>
      </w:rPr>
      <w:t>GSR065</w:t>
    </w:r>
    <w:r>
      <w:rPr>
        <w:b/>
        <w:sz w:val="48"/>
      </w:rPr>
      <w:t>E</w:t>
    </w:r>
    <w:r>
      <w:rPr>
        <w:rFonts w:hint="eastAsia"/>
        <w:b/>
        <w:sz w:val="48"/>
        <w:lang w:val="en-US" w:eastAsia="zh-CN"/>
      </w:rPr>
      <w:t>030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3D0938"/>
    <w:multiLevelType w:val="multilevel"/>
    <w:tmpl w:val="113D093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6DC957F"/>
    <w:multiLevelType w:val="singleLevel"/>
    <w:tmpl w:val="16DC957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A5F"/>
    <w:rsid w:val="00027786"/>
    <w:rsid w:val="000734C3"/>
    <w:rsid w:val="000C4712"/>
    <w:rsid w:val="000D2DC5"/>
    <w:rsid w:val="001351E5"/>
    <w:rsid w:val="00175730"/>
    <w:rsid w:val="0025360E"/>
    <w:rsid w:val="00267117"/>
    <w:rsid w:val="0028133F"/>
    <w:rsid w:val="002E68DC"/>
    <w:rsid w:val="00363CD7"/>
    <w:rsid w:val="004062BA"/>
    <w:rsid w:val="0053340A"/>
    <w:rsid w:val="005B46D7"/>
    <w:rsid w:val="005E23E7"/>
    <w:rsid w:val="005F5FC5"/>
    <w:rsid w:val="006809C9"/>
    <w:rsid w:val="006D4D72"/>
    <w:rsid w:val="006E5149"/>
    <w:rsid w:val="00707386"/>
    <w:rsid w:val="00731426"/>
    <w:rsid w:val="00741827"/>
    <w:rsid w:val="00750DFC"/>
    <w:rsid w:val="007803C3"/>
    <w:rsid w:val="00783DAC"/>
    <w:rsid w:val="00785C06"/>
    <w:rsid w:val="00794D60"/>
    <w:rsid w:val="007A53F9"/>
    <w:rsid w:val="007D221D"/>
    <w:rsid w:val="00817FCD"/>
    <w:rsid w:val="008350BB"/>
    <w:rsid w:val="008C39BD"/>
    <w:rsid w:val="00912282"/>
    <w:rsid w:val="0097660F"/>
    <w:rsid w:val="009F4A6B"/>
    <w:rsid w:val="00A033C1"/>
    <w:rsid w:val="00A123D4"/>
    <w:rsid w:val="00A133F2"/>
    <w:rsid w:val="00A519F3"/>
    <w:rsid w:val="00A7557E"/>
    <w:rsid w:val="00B34AE3"/>
    <w:rsid w:val="00B77151"/>
    <w:rsid w:val="00BE5A0E"/>
    <w:rsid w:val="00BF1B2C"/>
    <w:rsid w:val="00BF4E77"/>
    <w:rsid w:val="00D32BFF"/>
    <w:rsid w:val="00D66A5F"/>
    <w:rsid w:val="00DB797C"/>
    <w:rsid w:val="00DE1859"/>
    <w:rsid w:val="00E3508D"/>
    <w:rsid w:val="00E95BEA"/>
    <w:rsid w:val="00EA4ACB"/>
    <w:rsid w:val="00FB6460"/>
    <w:rsid w:val="011253ED"/>
    <w:rsid w:val="05E66FA9"/>
    <w:rsid w:val="063D115E"/>
    <w:rsid w:val="06652463"/>
    <w:rsid w:val="08FB2C0B"/>
    <w:rsid w:val="0D5F7C0C"/>
    <w:rsid w:val="0E586E56"/>
    <w:rsid w:val="0EF10AB0"/>
    <w:rsid w:val="0FF30ADF"/>
    <w:rsid w:val="1045758D"/>
    <w:rsid w:val="11131439"/>
    <w:rsid w:val="116E1074"/>
    <w:rsid w:val="141E2E16"/>
    <w:rsid w:val="151614F8"/>
    <w:rsid w:val="1816180F"/>
    <w:rsid w:val="18277CAD"/>
    <w:rsid w:val="1B7E5563"/>
    <w:rsid w:val="1BC01A94"/>
    <w:rsid w:val="1D5726AE"/>
    <w:rsid w:val="1D771BA7"/>
    <w:rsid w:val="20803CC9"/>
    <w:rsid w:val="213C7D0C"/>
    <w:rsid w:val="2149055F"/>
    <w:rsid w:val="21D95D87"/>
    <w:rsid w:val="235F07AB"/>
    <w:rsid w:val="24390D5F"/>
    <w:rsid w:val="27D329F5"/>
    <w:rsid w:val="287D134F"/>
    <w:rsid w:val="2964687E"/>
    <w:rsid w:val="29A94291"/>
    <w:rsid w:val="2A7968B3"/>
    <w:rsid w:val="2AB915BA"/>
    <w:rsid w:val="2B5B37DD"/>
    <w:rsid w:val="2BE00F59"/>
    <w:rsid w:val="2D176EB8"/>
    <w:rsid w:val="2D295C56"/>
    <w:rsid w:val="2D744BB6"/>
    <w:rsid w:val="2DC25921"/>
    <w:rsid w:val="322F72FD"/>
    <w:rsid w:val="33C24D5A"/>
    <w:rsid w:val="33C63C91"/>
    <w:rsid w:val="345D63A4"/>
    <w:rsid w:val="34C401D1"/>
    <w:rsid w:val="34EE34FC"/>
    <w:rsid w:val="35B56EF2"/>
    <w:rsid w:val="35BF57AF"/>
    <w:rsid w:val="35FA5E74"/>
    <w:rsid w:val="3809239F"/>
    <w:rsid w:val="390A63CE"/>
    <w:rsid w:val="3A9D454C"/>
    <w:rsid w:val="3ADB2718"/>
    <w:rsid w:val="3DF17B5D"/>
    <w:rsid w:val="3FF24A41"/>
    <w:rsid w:val="4077503E"/>
    <w:rsid w:val="436037BB"/>
    <w:rsid w:val="43670410"/>
    <w:rsid w:val="44251820"/>
    <w:rsid w:val="45C63E21"/>
    <w:rsid w:val="470152B5"/>
    <w:rsid w:val="48233009"/>
    <w:rsid w:val="489D100D"/>
    <w:rsid w:val="4DA70238"/>
    <w:rsid w:val="4F302BDB"/>
    <w:rsid w:val="516A3A56"/>
    <w:rsid w:val="51900EFE"/>
    <w:rsid w:val="54E12281"/>
    <w:rsid w:val="562F0058"/>
    <w:rsid w:val="57014042"/>
    <w:rsid w:val="57C02622"/>
    <w:rsid w:val="57CE11E3"/>
    <w:rsid w:val="583C5886"/>
    <w:rsid w:val="5A8F4AD9"/>
    <w:rsid w:val="5C115F60"/>
    <w:rsid w:val="5C5B0B6B"/>
    <w:rsid w:val="5CBC5AAE"/>
    <w:rsid w:val="5F463D55"/>
    <w:rsid w:val="61210496"/>
    <w:rsid w:val="66915A35"/>
    <w:rsid w:val="67242BCD"/>
    <w:rsid w:val="69A43B52"/>
    <w:rsid w:val="6B0D3CE8"/>
    <w:rsid w:val="6B6A2B79"/>
    <w:rsid w:val="6BC54253"/>
    <w:rsid w:val="6C474483"/>
    <w:rsid w:val="6CBF282C"/>
    <w:rsid w:val="6DCF760B"/>
    <w:rsid w:val="70E1568B"/>
    <w:rsid w:val="71463740"/>
    <w:rsid w:val="71CD3E62"/>
    <w:rsid w:val="73466DEB"/>
    <w:rsid w:val="75630D65"/>
    <w:rsid w:val="75DF368D"/>
    <w:rsid w:val="75E672A0"/>
    <w:rsid w:val="7840538D"/>
    <w:rsid w:val="788C2381"/>
    <w:rsid w:val="79224A93"/>
    <w:rsid w:val="7C725D31"/>
    <w:rsid w:val="7CD6006E"/>
    <w:rsid w:val="7CE66FD3"/>
    <w:rsid w:val="7D690EE2"/>
    <w:rsid w:val="7EE8052D"/>
    <w:rsid w:val="7F87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320"/>
        <w:tab w:val="right" w:pos="8640"/>
      </w:tabs>
      <w:spacing w:after="0" w:line="240" w:lineRule="auto"/>
    </w:pPr>
  </w:style>
  <w:style w:type="paragraph" w:styleId="3">
    <w:name w:val="header"/>
    <w:basedOn w:val="1"/>
    <w:link w:val="7"/>
    <w:unhideWhenUsed/>
    <w:uiPriority w:val="99"/>
    <w:pPr>
      <w:tabs>
        <w:tab w:val="center" w:pos="4320"/>
        <w:tab w:val="right" w:pos="8640"/>
      </w:tabs>
      <w:spacing w:after="0" w:line="240" w:lineRule="auto"/>
    </w:pPr>
  </w:style>
  <w:style w:type="table" w:styleId="5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uiPriority w:val="99"/>
  </w:style>
  <w:style w:type="character" w:customStyle="1" w:styleId="8">
    <w:name w:val="页脚 Char"/>
    <w:basedOn w:val="6"/>
    <w:link w:val="2"/>
    <w:qFormat/>
    <w:uiPriority w:val="99"/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paragraph" w:customStyle="1" w:styleId="10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Segoe UI" w:hAnsi="Segoe UI" w:cs="Segoe UI" w:eastAsiaTheme="minorEastAsia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16E9F86-0DD4-4EEC-85C3-AA6F97B398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2777</Words>
  <Characters>5180</Characters>
  <Lines>88</Lines>
  <Paragraphs>24</Paragraphs>
  <TotalTime>1</TotalTime>
  <ScaleCrop>false</ScaleCrop>
  <LinksUpToDate>false</LinksUpToDate>
  <CharactersWithSpaces>6045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2022-02-23T01:56:00Z</dcterms:created>
  <dc:creator>Microsoft 帐户</dc:creator>
  <cp:lastModifiedBy>WPS_1588140062</cp:lastModifiedBy>
  <cp:lastPrinted>2022-02-23T12:00:00Z</cp:lastPrinted>
  <dcterms:modified xsi:type="dcterms:W3CDTF">2022-03-28T09:09:26Z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9CE1A2B49FD74C71B62451C09286C78D</vt:lpwstr>
  </property>
</Properties>
</file>